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28"/>
          <w:szCs w:val="28"/>
        </w:rPr>
      </w:pPr>
      <w:bookmarkStart w:id="0" w:name="_Hlt101233737"/>
      <w:bookmarkEnd w:id="0"/>
      <w:bookmarkStart w:id="1" w:name="_Hlt101843627"/>
      <w:bookmarkEnd w:id="1"/>
    </w:p>
    <w:p>
      <w:pPr>
        <w:pStyle w:val="2"/>
      </w:pPr>
    </w:p>
    <w:p>
      <w:pPr>
        <w:overflowPunct w:val="0"/>
        <w:jc w:val="center"/>
        <w:rPr>
          <w:rFonts w:ascii="宋体" w:hAnsi="宋体" w:cs="宋体"/>
          <w:b/>
          <w:bCs/>
          <w:sz w:val="40"/>
          <w:szCs w:val="40"/>
        </w:rPr>
      </w:pPr>
      <w:r>
        <w:rPr>
          <w:rFonts w:hint="eastAsia" w:ascii="宋体" w:hAnsi="宋体" w:cs="宋体"/>
          <w:b/>
          <w:bCs/>
          <w:sz w:val="40"/>
          <w:szCs w:val="40"/>
        </w:rPr>
        <w:t>攀枝花三线文化有限公司</w:t>
      </w:r>
    </w:p>
    <w:p>
      <w:pPr>
        <w:overflowPunct w:val="0"/>
        <w:jc w:val="center"/>
        <w:rPr>
          <w:rFonts w:ascii="宋体" w:hAnsi="宋体" w:cs="宋体"/>
          <w:b/>
          <w:bCs/>
          <w:sz w:val="40"/>
          <w:szCs w:val="40"/>
        </w:rPr>
      </w:pPr>
      <w:r>
        <w:rPr>
          <w:rFonts w:hint="eastAsia" w:ascii="宋体" w:hAnsi="宋体" w:cs="宋体"/>
          <w:b/>
          <w:bCs/>
          <w:sz w:val="40"/>
          <w:szCs w:val="40"/>
        </w:rPr>
        <w:t>工程类项目法律顾问单位比选项目</w:t>
      </w:r>
    </w:p>
    <w:p>
      <w:pPr>
        <w:pStyle w:val="2"/>
      </w:pPr>
    </w:p>
    <w:p>
      <w:pPr>
        <w:pStyle w:val="2"/>
      </w:pPr>
    </w:p>
    <w:p>
      <w:pPr>
        <w:pStyle w:val="2"/>
      </w:pPr>
    </w:p>
    <w:p>
      <w:pPr>
        <w:pStyle w:val="2"/>
      </w:pPr>
    </w:p>
    <w:p>
      <w:pPr>
        <w:adjustRightInd w:val="0"/>
        <w:snapToGrid w:val="0"/>
        <w:spacing w:line="360" w:lineRule="auto"/>
        <w:jc w:val="center"/>
        <w:rPr>
          <w:rFonts w:ascii="宋体" w:hAnsi="宋体" w:cs="宋体"/>
          <w:b/>
          <w:sz w:val="72"/>
          <w:szCs w:val="72"/>
        </w:rPr>
      </w:pPr>
      <w:r>
        <w:rPr>
          <w:rFonts w:hint="eastAsia" w:ascii="宋体" w:hAnsi="宋体" w:cs="宋体"/>
          <w:b/>
          <w:sz w:val="72"/>
          <w:szCs w:val="72"/>
        </w:rPr>
        <w:t>比</w:t>
      </w:r>
    </w:p>
    <w:p>
      <w:pPr>
        <w:adjustRightInd w:val="0"/>
        <w:snapToGrid w:val="0"/>
        <w:spacing w:line="360" w:lineRule="auto"/>
        <w:jc w:val="center"/>
        <w:rPr>
          <w:rFonts w:ascii="宋体" w:hAnsi="宋体" w:cs="宋体"/>
          <w:b/>
          <w:sz w:val="72"/>
          <w:szCs w:val="72"/>
        </w:rPr>
      </w:pPr>
      <w:r>
        <w:rPr>
          <w:rFonts w:hint="eastAsia" w:ascii="宋体" w:hAnsi="宋体" w:cs="宋体"/>
          <w:b/>
          <w:sz w:val="72"/>
          <w:szCs w:val="72"/>
        </w:rPr>
        <w:t>选</w:t>
      </w:r>
    </w:p>
    <w:p>
      <w:pPr>
        <w:adjustRightInd w:val="0"/>
        <w:snapToGrid w:val="0"/>
        <w:spacing w:line="360" w:lineRule="auto"/>
        <w:jc w:val="center"/>
        <w:rPr>
          <w:rFonts w:ascii="宋体" w:hAnsi="宋体" w:cs="宋体"/>
          <w:b/>
          <w:sz w:val="72"/>
          <w:szCs w:val="72"/>
        </w:rPr>
      </w:pPr>
      <w:r>
        <w:rPr>
          <w:rFonts w:hint="eastAsia" w:ascii="宋体" w:hAnsi="宋体" w:cs="宋体"/>
          <w:b/>
          <w:sz w:val="72"/>
          <w:szCs w:val="72"/>
        </w:rPr>
        <w:t>文</w:t>
      </w:r>
    </w:p>
    <w:p>
      <w:pPr>
        <w:adjustRightInd w:val="0"/>
        <w:snapToGrid w:val="0"/>
        <w:spacing w:line="360" w:lineRule="auto"/>
        <w:jc w:val="center"/>
        <w:rPr>
          <w:rFonts w:ascii="宋体" w:hAnsi="宋体" w:cs="宋体"/>
          <w:b/>
          <w:sz w:val="72"/>
          <w:szCs w:val="72"/>
        </w:rPr>
      </w:pPr>
      <w:r>
        <w:rPr>
          <w:rFonts w:hint="eastAsia" w:ascii="宋体" w:hAnsi="宋体" w:cs="宋体"/>
          <w:b/>
          <w:sz w:val="72"/>
          <w:szCs w:val="72"/>
        </w:rPr>
        <w:t>件</w:t>
      </w:r>
    </w:p>
    <w:p>
      <w:pPr>
        <w:adjustRightInd w:val="0"/>
        <w:snapToGrid w:val="0"/>
        <w:spacing w:line="360" w:lineRule="auto"/>
        <w:rPr>
          <w:rFonts w:ascii="宋体" w:hAnsi="宋体" w:cs="宋体"/>
          <w:b/>
          <w:sz w:val="24"/>
        </w:rPr>
      </w:pPr>
    </w:p>
    <w:p>
      <w:pPr>
        <w:adjustRightInd w:val="0"/>
        <w:snapToGrid w:val="0"/>
        <w:spacing w:line="360" w:lineRule="auto"/>
        <w:rPr>
          <w:rFonts w:ascii="宋体" w:hAnsi="宋体" w:cs="宋体"/>
          <w:b/>
          <w:sz w:val="24"/>
        </w:rPr>
      </w:pPr>
    </w:p>
    <w:p>
      <w:pPr>
        <w:adjustRightInd w:val="0"/>
        <w:snapToGrid w:val="0"/>
        <w:spacing w:line="360" w:lineRule="auto"/>
        <w:rPr>
          <w:rFonts w:ascii="宋体" w:hAnsi="宋体" w:cs="宋体"/>
          <w:b/>
          <w:sz w:val="24"/>
        </w:rPr>
      </w:pPr>
    </w:p>
    <w:p>
      <w:pPr>
        <w:pStyle w:val="2"/>
      </w:pPr>
    </w:p>
    <w:p>
      <w:pPr>
        <w:spacing w:line="360" w:lineRule="auto"/>
        <w:jc w:val="center"/>
        <w:rPr>
          <w:rFonts w:ascii="宋体" w:hAnsi="宋体"/>
          <w:b/>
          <w:bCs/>
          <w:spacing w:val="6"/>
          <w:sz w:val="28"/>
          <w:szCs w:val="28"/>
        </w:rPr>
      </w:pPr>
      <w:r>
        <w:rPr>
          <w:rFonts w:ascii="宋体" w:hAnsi="宋体"/>
          <w:b/>
          <w:bCs/>
          <w:spacing w:val="10"/>
          <w:sz w:val="28"/>
          <w:szCs w:val="28"/>
        </w:rPr>
        <w:t>中国.四川(</w:t>
      </w:r>
      <w:r>
        <w:rPr>
          <w:rFonts w:hint="eastAsia" w:ascii="宋体" w:hAnsi="宋体"/>
          <w:b/>
          <w:bCs/>
          <w:spacing w:val="10"/>
          <w:sz w:val="28"/>
          <w:szCs w:val="28"/>
        </w:rPr>
        <w:t>攀枝花市</w:t>
      </w:r>
      <w:r>
        <w:rPr>
          <w:rFonts w:ascii="宋体" w:hAnsi="宋体"/>
          <w:b/>
          <w:bCs/>
          <w:spacing w:val="10"/>
          <w:sz w:val="28"/>
          <w:szCs w:val="28"/>
        </w:rPr>
        <w:t>)</w:t>
      </w:r>
    </w:p>
    <w:p>
      <w:pPr>
        <w:spacing w:line="360" w:lineRule="auto"/>
        <w:jc w:val="center"/>
        <w:rPr>
          <w:rFonts w:ascii="宋体" w:hAnsi="宋体"/>
          <w:b/>
          <w:bCs/>
          <w:spacing w:val="6"/>
          <w:sz w:val="28"/>
          <w:szCs w:val="28"/>
        </w:rPr>
      </w:pPr>
      <w:r>
        <w:rPr>
          <w:rFonts w:hint="eastAsia" w:ascii="宋体" w:hAnsi="宋体"/>
          <w:b/>
          <w:bCs/>
          <w:spacing w:val="6"/>
          <w:sz w:val="28"/>
          <w:szCs w:val="28"/>
        </w:rPr>
        <w:t>攀枝花三线文化有限公司</w:t>
      </w:r>
    </w:p>
    <w:p>
      <w:pPr>
        <w:spacing w:line="360" w:lineRule="auto"/>
        <w:jc w:val="center"/>
        <w:rPr>
          <w:rFonts w:ascii="宋体" w:hAnsi="宋体"/>
          <w:b/>
          <w:bCs/>
          <w:spacing w:val="6"/>
          <w:sz w:val="28"/>
          <w:szCs w:val="28"/>
        </w:rPr>
      </w:pPr>
      <w:r>
        <w:rPr>
          <w:rFonts w:hint="eastAsia" w:ascii="宋体" w:hAnsi="宋体"/>
          <w:b/>
          <w:bCs/>
          <w:spacing w:val="6"/>
          <w:sz w:val="28"/>
          <w:szCs w:val="28"/>
        </w:rPr>
        <w:t>成都长源工程咨询有限公司</w:t>
      </w:r>
      <w:r>
        <w:rPr>
          <w:rFonts w:ascii="宋体" w:hAnsi="宋体"/>
          <w:b/>
          <w:bCs/>
          <w:spacing w:val="6"/>
          <w:sz w:val="28"/>
          <w:szCs w:val="28"/>
        </w:rPr>
        <w:t>共同编制</w:t>
      </w:r>
    </w:p>
    <w:p>
      <w:pPr>
        <w:spacing w:line="360" w:lineRule="auto"/>
        <w:jc w:val="center"/>
        <w:rPr>
          <w:rFonts w:ascii="宋体" w:hAnsi="宋体"/>
          <w:b/>
          <w:bCs/>
          <w:spacing w:val="6"/>
          <w:sz w:val="28"/>
          <w:szCs w:val="28"/>
        </w:rPr>
      </w:pPr>
      <w:r>
        <w:rPr>
          <w:rFonts w:hint="eastAsia" w:ascii="宋体" w:hAnsi="宋体"/>
          <w:b/>
          <w:bCs/>
          <w:spacing w:val="6"/>
          <w:sz w:val="28"/>
          <w:szCs w:val="28"/>
        </w:rPr>
        <w:t>二〇二〇年八月</w:t>
      </w:r>
    </w:p>
    <w:p>
      <w:pPr>
        <w:pStyle w:val="2"/>
        <w:rPr>
          <w:rFonts w:hint="eastAsia"/>
        </w:rPr>
      </w:pPr>
    </w:p>
    <w:p>
      <w:pPr>
        <w:rPr>
          <w:rFonts w:hint="eastAsia"/>
        </w:rPr>
      </w:pPr>
    </w:p>
    <w:p>
      <w:pPr>
        <w:pStyle w:val="2"/>
        <w:rPr>
          <w:rFonts w:hint="eastAsia"/>
        </w:rPr>
      </w:pPr>
    </w:p>
    <w:p/>
    <w:p>
      <w:pPr>
        <w:pStyle w:val="2"/>
      </w:pPr>
    </w:p>
    <w:p>
      <w:pPr>
        <w:keepNext/>
        <w:keepLines/>
        <w:spacing w:line="360" w:lineRule="exact"/>
        <w:jc w:val="center"/>
        <w:rPr>
          <w:rFonts w:ascii="宋体" w:hAnsi="宋体" w:cs="宋体"/>
          <w:b/>
          <w:bCs/>
          <w:sz w:val="32"/>
          <w:szCs w:val="32"/>
        </w:rPr>
      </w:pPr>
      <w:bookmarkStart w:id="2" w:name="_Toc415172986"/>
      <w:bookmarkStart w:id="3" w:name="_Toc394744452"/>
      <w:bookmarkStart w:id="4" w:name="_Toc417482334"/>
      <w:bookmarkStart w:id="5" w:name="_Toc371018137"/>
      <w:bookmarkStart w:id="6" w:name="_Toc361754243"/>
      <w:bookmarkStart w:id="7" w:name="_Toc381260398"/>
      <w:bookmarkStart w:id="8" w:name="_Toc417482401"/>
      <w:bookmarkStart w:id="9" w:name="_Toc22671"/>
      <w:bookmarkStart w:id="10" w:name="_Toc417484889"/>
      <w:bookmarkStart w:id="11" w:name="_Toc415173103"/>
      <w:bookmarkStart w:id="12" w:name="_Toc394586411"/>
      <w:bookmarkStart w:id="13" w:name="_Toc417485016"/>
      <w:bookmarkStart w:id="14" w:name="_Toc387830568"/>
      <w:bookmarkStart w:id="15" w:name="_Toc415160507"/>
      <w:bookmarkStart w:id="16" w:name="_Toc421014572"/>
      <w:bookmarkStart w:id="17" w:name="_Toc387913263"/>
      <w:bookmarkStart w:id="18" w:name="_Toc361753931"/>
      <w:bookmarkStart w:id="19" w:name="_Toc369348016"/>
      <w:bookmarkStart w:id="20" w:name="_Toc369360446"/>
      <w:bookmarkStart w:id="21" w:name="_Toc369347597"/>
      <w:bookmarkStart w:id="22" w:name="_Toc361753695"/>
      <w:r>
        <w:rPr>
          <w:rFonts w:hint="eastAsia" w:ascii="宋体" w:hAnsi="宋体" w:cs="宋体"/>
          <w:b/>
          <w:bCs/>
          <w:sz w:val="32"/>
          <w:szCs w:val="32"/>
        </w:rPr>
        <w:t>目   录</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11"/>
        <w:tabs>
          <w:tab w:val="right" w:leader="dot" w:pos="8959"/>
          <w:tab w:val="clear" w:pos="8949"/>
        </w:tabs>
      </w:pPr>
      <w:r>
        <w:rPr>
          <w:rFonts w:hint="eastAsia" w:ascii="宋体" w:hAnsi="宋体" w:cs="宋体"/>
          <w:bCs/>
          <w:sz w:val="32"/>
          <w:szCs w:val="32"/>
        </w:rPr>
        <w:fldChar w:fldCharType="begin"/>
      </w:r>
      <w:r>
        <w:rPr>
          <w:rFonts w:hint="eastAsia" w:ascii="宋体" w:hAnsi="宋体" w:cs="宋体"/>
          <w:bCs/>
          <w:sz w:val="32"/>
          <w:szCs w:val="32"/>
        </w:rPr>
        <w:instrText xml:space="preserve"> TOC \o "1-3" \h \z \u </w:instrText>
      </w:r>
      <w:r>
        <w:rPr>
          <w:rFonts w:hint="eastAsia" w:ascii="宋体" w:hAnsi="宋体" w:cs="宋体"/>
          <w:bCs/>
          <w:sz w:val="32"/>
          <w:szCs w:val="32"/>
        </w:rPr>
        <w:fldChar w:fldCharType="separate"/>
      </w:r>
      <w:r>
        <w:fldChar w:fldCharType="begin"/>
      </w:r>
      <w:r>
        <w:instrText xml:space="preserve"> HYPERLINK \l "_Toc4052" </w:instrText>
      </w:r>
      <w:r>
        <w:fldChar w:fldCharType="separate"/>
      </w:r>
      <w:r>
        <w:rPr>
          <w:rFonts w:hint="eastAsia" w:ascii="黑体" w:hAnsi="黑体" w:eastAsia="黑体"/>
          <w:szCs w:val="32"/>
        </w:rPr>
        <w:t>第一章  比选邀请</w:t>
      </w:r>
      <w:r>
        <w:tab/>
      </w:r>
      <w:r>
        <w:fldChar w:fldCharType="begin"/>
      </w:r>
      <w:r>
        <w:instrText xml:space="preserve"> PAGEREF _Toc4052 </w:instrText>
      </w:r>
      <w:r>
        <w:fldChar w:fldCharType="separate"/>
      </w:r>
      <w:r>
        <w:t>4</w:t>
      </w:r>
      <w:r>
        <w:fldChar w:fldCharType="end"/>
      </w:r>
      <w:r>
        <w:fldChar w:fldCharType="end"/>
      </w:r>
    </w:p>
    <w:p>
      <w:pPr>
        <w:pStyle w:val="11"/>
        <w:tabs>
          <w:tab w:val="right" w:leader="dot" w:pos="8959"/>
          <w:tab w:val="clear" w:pos="8949"/>
        </w:tabs>
      </w:pPr>
      <w:r>
        <w:fldChar w:fldCharType="begin"/>
      </w:r>
      <w:r>
        <w:instrText xml:space="preserve"> HYPERLINK \l "_Toc28351" </w:instrText>
      </w:r>
      <w:r>
        <w:fldChar w:fldCharType="separate"/>
      </w:r>
      <w:r>
        <w:rPr>
          <w:rFonts w:hint="eastAsia" w:ascii="黑体" w:hAnsi="黑体" w:eastAsia="黑体"/>
          <w:szCs w:val="32"/>
        </w:rPr>
        <w:t>第二章  比选申请人须知</w:t>
      </w:r>
      <w:r>
        <w:tab/>
      </w:r>
      <w:r>
        <w:fldChar w:fldCharType="begin"/>
      </w:r>
      <w:r>
        <w:instrText xml:space="preserve"> PAGEREF _Toc28351 </w:instrText>
      </w:r>
      <w:r>
        <w:fldChar w:fldCharType="separate"/>
      </w:r>
      <w:r>
        <w:t>6</w:t>
      </w:r>
      <w:r>
        <w:fldChar w:fldCharType="end"/>
      </w:r>
      <w:r>
        <w:fldChar w:fldCharType="end"/>
      </w:r>
    </w:p>
    <w:p>
      <w:pPr>
        <w:pStyle w:val="12"/>
        <w:tabs>
          <w:tab w:val="right" w:leader="dot" w:pos="8959"/>
        </w:tabs>
      </w:pPr>
      <w:r>
        <w:fldChar w:fldCharType="begin"/>
      </w:r>
      <w:r>
        <w:instrText xml:space="preserve"> HYPERLINK \l "_Toc12463" </w:instrText>
      </w:r>
      <w:r>
        <w:fldChar w:fldCharType="separate"/>
      </w:r>
      <w:r>
        <w:rPr>
          <w:rFonts w:hint="eastAsia"/>
        </w:rPr>
        <w:t>一、比选申请人须知附表</w:t>
      </w:r>
      <w:r>
        <w:tab/>
      </w:r>
      <w:r>
        <w:fldChar w:fldCharType="begin"/>
      </w:r>
      <w:r>
        <w:instrText xml:space="preserve"> PAGEREF _Toc12463 </w:instrText>
      </w:r>
      <w:r>
        <w:fldChar w:fldCharType="separate"/>
      </w:r>
      <w:r>
        <w:t>6</w:t>
      </w:r>
      <w:r>
        <w:fldChar w:fldCharType="end"/>
      </w:r>
      <w:r>
        <w:fldChar w:fldCharType="end"/>
      </w:r>
    </w:p>
    <w:p>
      <w:pPr>
        <w:pStyle w:val="12"/>
        <w:tabs>
          <w:tab w:val="right" w:leader="dot" w:pos="8959"/>
        </w:tabs>
      </w:pPr>
      <w:r>
        <w:fldChar w:fldCharType="begin"/>
      </w:r>
      <w:r>
        <w:instrText xml:space="preserve"> HYPERLINK \l "_Toc5819" </w:instrText>
      </w:r>
      <w:r>
        <w:fldChar w:fldCharType="separate"/>
      </w:r>
      <w:r>
        <w:rPr>
          <w:rFonts w:hint="eastAsia"/>
        </w:rPr>
        <w:t>二、总  则</w:t>
      </w:r>
      <w:r>
        <w:tab/>
      </w:r>
      <w:r>
        <w:fldChar w:fldCharType="begin"/>
      </w:r>
      <w:r>
        <w:instrText xml:space="preserve"> PAGEREF _Toc5819 </w:instrText>
      </w:r>
      <w:r>
        <w:fldChar w:fldCharType="separate"/>
      </w:r>
      <w:r>
        <w:t>9</w:t>
      </w:r>
      <w:r>
        <w:fldChar w:fldCharType="end"/>
      </w:r>
      <w:r>
        <w:fldChar w:fldCharType="end"/>
      </w:r>
    </w:p>
    <w:p>
      <w:pPr>
        <w:pStyle w:val="8"/>
        <w:tabs>
          <w:tab w:val="right" w:leader="dot" w:pos="8959"/>
        </w:tabs>
      </w:pPr>
      <w:r>
        <w:fldChar w:fldCharType="begin"/>
      </w:r>
      <w:r>
        <w:instrText xml:space="preserve"> HYPERLINK \l "_Toc18736" </w:instrText>
      </w:r>
      <w:r>
        <w:fldChar w:fldCharType="separate"/>
      </w:r>
      <w:r>
        <w:rPr>
          <w:rFonts w:hint="eastAsia" w:ascii="宋体" w:hAnsi="宋体"/>
        </w:rPr>
        <w:t>1</w:t>
      </w:r>
      <w:r>
        <w:rPr>
          <w:rFonts w:ascii="宋体" w:hAnsi="宋体"/>
        </w:rPr>
        <w:t>.</w:t>
      </w:r>
      <w:r>
        <w:rPr>
          <w:rFonts w:hint="eastAsia" w:ascii="宋体" w:hAnsi="宋体"/>
        </w:rPr>
        <w:t>适用范围</w:t>
      </w:r>
      <w:r>
        <w:tab/>
      </w:r>
      <w:r>
        <w:fldChar w:fldCharType="begin"/>
      </w:r>
      <w:r>
        <w:instrText xml:space="preserve"> PAGEREF _Toc18736 </w:instrText>
      </w:r>
      <w:r>
        <w:fldChar w:fldCharType="separate"/>
      </w:r>
      <w:r>
        <w:t>9</w:t>
      </w:r>
      <w:r>
        <w:fldChar w:fldCharType="end"/>
      </w:r>
      <w:r>
        <w:fldChar w:fldCharType="end"/>
      </w:r>
    </w:p>
    <w:p>
      <w:pPr>
        <w:pStyle w:val="8"/>
        <w:tabs>
          <w:tab w:val="right" w:leader="dot" w:pos="8959"/>
        </w:tabs>
      </w:pPr>
      <w:r>
        <w:fldChar w:fldCharType="begin"/>
      </w:r>
      <w:r>
        <w:instrText xml:space="preserve"> HYPERLINK \l "_Toc2929" </w:instrText>
      </w:r>
      <w:r>
        <w:fldChar w:fldCharType="separate"/>
      </w:r>
      <w:r>
        <w:rPr>
          <w:rFonts w:ascii="宋体" w:hAnsi="宋体"/>
        </w:rPr>
        <w:t>2.</w:t>
      </w:r>
      <w:r>
        <w:rPr>
          <w:rFonts w:hint="eastAsia" w:ascii="宋体" w:hAnsi="宋体"/>
        </w:rPr>
        <w:t xml:space="preserve"> 有关定义</w:t>
      </w:r>
      <w:r>
        <w:tab/>
      </w:r>
      <w:r>
        <w:fldChar w:fldCharType="begin"/>
      </w:r>
      <w:r>
        <w:instrText xml:space="preserve"> PAGEREF _Toc2929 </w:instrText>
      </w:r>
      <w:r>
        <w:fldChar w:fldCharType="separate"/>
      </w:r>
      <w:r>
        <w:t>9</w:t>
      </w:r>
      <w:r>
        <w:fldChar w:fldCharType="end"/>
      </w:r>
      <w:r>
        <w:fldChar w:fldCharType="end"/>
      </w:r>
    </w:p>
    <w:p>
      <w:pPr>
        <w:pStyle w:val="8"/>
        <w:tabs>
          <w:tab w:val="right" w:leader="dot" w:pos="8959"/>
        </w:tabs>
      </w:pPr>
      <w:r>
        <w:fldChar w:fldCharType="begin"/>
      </w:r>
      <w:r>
        <w:instrText xml:space="preserve"> HYPERLINK \l "_Toc24962" </w:instrText>
      </w:r>
      <w:r>
        <w:fldChar w:fldCharType="separate"/>
      </w:r>
      <w:r>
        <w:rPr>
          <w:rFonts w:ascii="宋体" w:hAnsi="宋体"/>
        </w:rPr>
        <w:t>3.</w:t>
      </w:r>
      <w:r>
        <w:rPr>
          <w:rFonts w:hint="eastAsia" w:ascii="宋体" w:hAnsi="宋体"/>
        </w:rPr>
        <w:t xml:space="preserve"> 合格的比选申请人（实质性要求）</w:t>
      </w:r>
      <w:r>
        <w:tab/>
      </w:r>
      <w:r>
        <w:fldChar w:fldCharType="begin"/>
      </w:r>
      <w:r>
        <w:instrText xml:space="preserve"> PAGEREF _Toc24962 </w:instrText>
      </w:r>
      <w:r>
        <w:fldChar w:fldCharType="separate"/>
      </w:r>
      <w:r>
        <w:t>9</w:t>
      </w:r>
      <w:r>
        <w:fldChar w:fldCharType="end"/>
      </w:r>
      <w:r>
        <w:fldChar w:fldCharType="end"/>
      </w:r>
    </w:p>
    <w:p>
      <w:pPr>
        <w:pStyle w:val="8"/>
        <w:tabs>
          <w:tab w:val="right" w:leader="dot" w:pos="8959"/>
        </w:tabs>
      </w:pPr>
      <w:r>
        <w:fldChar w:fldCharType="begin"/>
      </w:r>
      <w:r>
        <w:instrText xml:space="preserve"> HYPERLINK \l "_Toc19394" </w:instrText>
      </w:r>
      <w:r>
        <w:fldChar w:fldCharType="separate"/>
      </w:r>
      <w:r>
        <w:rPr>
          <w:rFonts w:hint="eastAsia" w:ascii="宋体" w:hAnsi="宋体"/>
        </w:rPr>
        <w:t>4. 比选费用</w:t>
      </w:r>
      <w:r>
        <w:tab/>
      </w:r>
      <w:r>
        <w:fldChar w:fldCharType="begin"/>
      </w:r>
      <w:r>
        <w:instrText xml:space="preserve"> PAGEREF _Toc19394 </w:instrText>
      </w:r>
      <w:r>
        <w:fldChar w:fldCharType="separate"/>
      </w:r>
      <w:r>
        <w:t>9</w:t>
      </w:r>
      <w:r>
        <w:fldChar w:fldCharType="end"/>
      </w:r>
      <w:r>
        <w:fldChar w:fldCharType="end"/>
      </w:r>
    </w:p>
    <w:p>
      <w:pPr>
        <w:pStyle w:val="8"/>
        <w:tabs>
          <w:tab w:val="right" w:leader="dot" w:pos="8959"/>
        </w:tabs>
      </w:pPr>
      <w:r>
        <w:fldChar w:fldCharType="begin"/>
      </w:r>
      <w:r>
        <w:instrText xml:space="preserve"> HYPERLINK \l "_Toc16088" </w:instrText>
      </w:r>
      <w:r>
        <w:fldChar w:fldCharType="separate"/>
      </w:r>
      <w:r>
        <w:rPr>
          <w:rFonts w:hint="eastAsia" w:ascii="宋体" w:hAnsi="宋体"/>
        </w:rPr>
        <w:t>5. 充分、公平竞争保障措施（实质性要求）</w:t>
      </w:r>
      <w:r>
        <w:tab/>
      </w:r>
      <w:r>
        <w:fldChar w:fldCharType="begin"/>
      </w:r>
      <w:r>
        <w:instrText xml:space="preserve"> PAGEREF _Toc16088 </w:instrText>
      </w:r>
      <w:r>
        <w:fldChar w:fldCharType="separate"/>
      </w:r>
      <w:r>
        <w:t>9</w:t>
      </w:r>
      <w:r>
        <w:fldChar w:fldCharType="end"/>
      </w:r>
      <w:r>
        <w:fldChar w:fldCharType="end"/>
      </w:r>
    </w:p>
    <w:p>
      <w:pPr>
        <w:pStyle w:val="12"/>
        <w:tabs>
          <w:tab w:val="right" w:leader="dot" w:pos="8959"/>
        </w:tabs>
      </w:pPr>
      <w:r>
        <w:fldChar w:fldCharType="begin"/>
      </w:r>
      <w:r>
        <w:instrText xml:space="preserve"> HYPERLINK \l "_Toc10890" </w:instrText>
      </w:r>
      <w:r>
        <w:fldChar w:fldCharType="separate"/>
      </w:r>
      <w:r>
        <w:rPr>
          <w:rFonts w:hint="eastAsia"/>
        </w:rPr>
        <w:t>三、比选文件</w:t>
      </w:r>
      <w:r>
        <w:tab/>
      </w:r>
      <w:r>
        <w:fldChar w:fldCharType="begin"/>
      </w:r>
      <w:r>
        <w:instrText xml:space="preserve"> PAGEREF _Toc10890 </w:instrText>
      </w:r>
      <w:r>
        <w:fldChar w:fldCharType="separate"/>
      </w:r>
      <w:r>
        <w:t>10</w:t>
      </w:r>
      <w:r>
        <w:fldChar w:fldCharType="end"/>
      </w:r>
      <w:r>
        <w:fldChar w:fldCharType="end"/>
      </w:r>
    </w:p>
    <w:p>
      <w:pPr>
        <w:pStyle w:val="8"/>
        <w:tabs>
          <w:tab w:val="right" w:leader="dot" w:pos="8959"/>
        </w:tabs>
      </w:pPr>
      <w:r>
        <w:fldChar w:fldCharType="begin"/>
      </w:r>
      <w:r>
        <w:instrText xml:space="preserve"> HYPERLINK \l "_Toc18757" </w:instrText>
      </w:r>
      <w:r>
        <w:fldChar w:fldCharType="separate"/>
      </w:r>
      <w:r>
        <w:rPr>
          <w:rFonts w:hint="eastAsia" w:ascii="宋体" w:hAnsi="宋体"/>
        </w:rPr>
        <w:t>6.比选文件的构成</w:t>
      </w:r>
      <w:r>
        <w:tab/>
      </w:r>
      <w:r>
        <w:fldChar w:fldCharType="begin"/>
      </w:r>
      <w:r>
        <w:instrText xml:space="preserve"> PAGEREF _Toc18757 </w:instrText>
      </w:r>
      <w:r>
        <w:fldChar w:fldCharType="separate"/>
      </w:r>
      <w:r>
        <w:t>10</w:t>
      </w:r>
      <w:r>
        <w:fldChar w:fldCharType="end"/>
      </w:r>
      <w:r>
        <w:fldChar w:fldCharType="end"/>
      </w:r>
    </w:p>
    <w:p>
      <w:pPr>
        <w:pStyle w:val="8"/>
        <w:tabs>
          <w:tab w:val="right" w:leader="dot" w:pos="8959"/>
        </w:tabs>
      </w:pPr>
      <w:r>
        <w:fldChar w:fldCharType="begin"/>
      </w:r>
      <w:r>
        <w:instrText xml:space="preserve"> HYPERLINK \l "_Toc30091" </w:instrText>
      </w:r>
      <w:r>
        <w:fldChar w:fldCharType="separate"/>
      </w:r>
      <w:r>
        <w:rPr>
          <w:rFonts w:hint="eastAsia" w:ascii="宋体" w:hAnsi="宋体"/>
        </w:rPr>
        <w:t>7. 比选文件的澄清和修改</w:t>
      </w:r>
      <w:r>
        <w:tab/>
      </w:r>
      <w:r>
        <w:fldChar w:fldCharType="begin"/>
      </w:r>
      <w:r>
        <w:instrText xml:space="preserve"> PAGEREF _Toc30091 </w:instrText>
      </w:r>
      <w:r>
        <w:fldChar w:fldCharType="separate"/>
      </w:r>
      <w:r>
        <w:t>11</w:t>
      </w:r>
      <w:r>
        <w:fldChar w:fldCharType="end"/>
      </w:r>
      <w:r>
        <w:fldChar w:fldCharType="end"/>
      </w:r>
    </w:p>
    <w:p>
      <w:pPr>
        <w:pStyle w:val="12"/>
        <w:tabs>
          <w:tab w:val="right" w:leader="dot" w:pos="8959"/>
        </w:tabs>
      </w:pPr>
      <w:r>
        <w:fldChar w:fldCharType="begin"/>
      </w:r>
      <w:r>
        <w:instrText xml:space="preserve"> HYPERLINK \l "_Toc3458" </w:instrText>
      </w:r>
      <w:r>
        <w:fldChar w:fldCharType="separate"/>
      </w:r>
      <w:r>
        <w:rPr>
          <w:rFonts w:hint="eastAsia"/>
        </w:rPr>
        <w:t>四、比选申请文件</w:t>
      </w:r>
      <w:r>
        <w:tab/>
      </w:r>
      <w:r>
        <w:fldChar w:fldCharType="begin"/>
      </w:r>
      <w:r>
        <w:instrText xml:space="preserve"> PAGEREF _Toc3458 </w:instrText>
      </w:r>
      <w:r>
        <w:fldChar w:fldCharType="separate"/>
      </w:r>
      <w:r>
        <w:t>11</w:t>
      </w:r>
      <w:r>
        <w:fldChar w:fldCharType="end"/>
      </w:r>
      <w:r>
        <w:fldChar w:fldCharType="end"/>
      </w:r>
    </w:p>
    <w:p>
      <w:pPr>
        <w:pStyle w:val="8"/>
        <w:tabs>
          <w:tab w:val="right" w:leader="dot" w:pos="8959"/>
        </w:tabs>
      </w:pPr>
      <w:r>
        <w:fldChar w:fldCharType="begin"/>
      </w:r>
      <w:r>
        <w:instrText xml:space="preserve"> HYPERLINK \l "_Toc3252" </w:instrText>
      </w:r>
      <w:r>
        <w:fldChar w:fldCharType="separate"/>
      </w:r>
      <w:r>
        <w:rPr>
          <w:rFonts w:hint="eastAsia" w:ascii="宋体" w:hAnsi="宋体"/>
        </w:rPr>
        <w:t>9</w:t>
      </w:r>
      <w:r>
        <w:rPr>
          <w:rFonts w:ascii="宋体" w:hAnsi="宋体"/>
        </w:rPr>
        <w:t>.</w:t>
      </w:r>
      <w:r>
        <w:rPr>
          <w:rFonts w:hint="eastAsia" w:ascii="宋体" w:hAnsi="宋体"/>
        </w:rPr>
        <w:t xml:space="preserve"> 比选申请的语言</w:t>
      </w:r>
      <w:r>
        <w:tab/>
      </w:r>
      <w:r>
        <w:fldChar w:fldCharType="begin"/>
      </w:r>
      <w:r>
        <w:instrText xml:space="preserve"> PAGEREF _Toc3252 </w:instrText>
      </w:r>
      <w:r>
        <w:fldChar w:fldCharType="separate"/>
      </w:r>
      <w:r>
        <w:t>11</w:t>
      </w:r>
      <w:r>
        <w:fldChar w:fldCharType="end"/>
      </w:r>
      <w:r>
        <w:fldChar w:fldCharType="end"/>
      </w:r>
    </w:p>
    <w:p>
      <w:pPr>
        <w:pStyle w:val="8"/>
        <w:tabs>
          <w:tab w:val="right" w:leader="dot" w:pos="8959"/>
        </w:tabs>
      </w:pPr>
      <w:r>
        <w:fldChar w:fldCharType="begin"/>
      </w:r>
      <w:r>
        <w:instrText xml:space="preserve"> HYPERLINK \l "_Toc8587" </w:instrText>
      </w:r>
      <w:r>
        <w:fldChar w:fldCharType="separate"/>
      </w:r>
      <w:r>
        <w:rPr>
          <w:rFonts w:hint="eastAsia" w:ascii="宋体" w:hAnsi="宋体"/>
        </w:rPr>
        <w:t>10</w:t>
      </w:r>
      <w:r>
        <w:rPr>
          <w:rFonts w:ascii="宋体" w:hAnsi="宋体"/>
        </w:rPr>
        <w:t>.</w:t>
      </w:r>
      <w:r>
        <w:rPr>
          <w:rFonts w:hint="eastAsia" w:ascii="宋体" w:hAnsi="宋体"/>
        </w:rPr>
        <w:t xml:space="preserve"> 计量单位</w:t>
      </w:r>
      <w:r>
        <w:tab/>
      </w:r>
      <w:r>
        <w:fldChar w:fldCharType="begin"/>
      </w:r>
      <w:r>
        <w:instrText xml:space="preserve"> PAGEREF _Toc8587 </w:instrText>
      </w:r>
      <w:r>
        <w:fldChar w:fldCharType="separate"/>
      </w:r>
      <w:r>
        <w:t>12</w:t>
      </w:r>
      <w:r>
        <w:fldChar w:fldCharType="end"/>
      </w:r>
      <w:r>
        <w:fldChar w:fldCharType="end"/>
      </w:r>
    </w:p>
    <w:p>
      <w:pPr>
        <w:pStyle w:val="8"/>
        <w:tabs>
          <w:tab w:val="right" w:leader="dot" w:pos="8959"/>
        </w:tabs>
      </w:pPr>
      <w:r>
        <w:fldChar w:fldCharType="begin"/>
      </w:r>
      <w:r>
        <w:instrText xml:space="preserve"> HYPERLINK \l "_Toc13487" </w:instrText>
      </w:r>
      <w:r>
        <w:fldChar w:fldCharType="separate"/>
      </w:r>
      <w:r>
        <w:rPr>
          <w:rFonts w:hint="eastAsia" w:ascii="宋体" w:hAnsi="宋体"/>
        </w:rPr>
        <w:t>11. 比选项目</w:t>
      </w:r>
      <w:r>
        <w:rPr>
          <w:rFonts w:ascii="宋体" w:hAnsi="宋体"/>
        </w:rPr>
        <w:t>中所涉及的</w:t>
      </w:r>
      <w:r>
        <w:rPr>
          <w:rFonts w:hint="eastAsia" w:ascii="宋体" w:hAnsi="宋体"/>
        </w:rPr>
        <w:t>货币</w:t>
      </w:r>
      <w:r>
        <w:tab/>
      </w:r>
      <w:r>
        <w:fldChar w:fldCharType="begin"/>
      </w:r>
      <w:r>
        <w:instrText xml:space="preserve"> PAGEREF _Toc13487 </w:instrText>
      </w:r>
      <w:r>
        <w:fldChar w:fldCharType="separate"/>
      </w:r>
      <w:r>
        <w:t>12</w:t>
      </w:r>
      <w:r>
        <w:fldChar w:fldCharType="end"/>
      </w:r>
      <w:r>
        <w:fldChar w:fldCharType="end"/>
      </w:r>
    </w:p>
    <w:p>
      <w:pPr>
        <w:pStyle w:val="8"/>
        <w:tabs>
          <w:tab w:val="right" w:leader="dot" w:pos="8959"/>
        </w:tabs>
      </w:pPr>
      <w:r>
        <w:fldChar w:fldCharType="begin"/>
      </w:r>
      <w:r>
        <w:instrText xml:space="preserve"> HYPERLINK \l "_Toc11131" </w:instrText>
      </w:r>
      <w:r>
        <w:fldChar w:fldCharType="separate"/>
      </w:r>
      <w:r>
        <w:rPr>
          <w:rFonts w:hint="eastAsia" w:ascii="宋体" w:hAnsi="宋体"/>
        </w:rPr>
        <w:t>12.联合体（实质性要求）</w:t>
      </w:r>
      <w:r>
        <w:tab/>
      </w:r>
      <w:r>
        <w:fldChar w:fldCharType="begin"/>
      </w:r>
      <w:r>
        <w:instrText xml:space="preserve"> PAGEREF _Toc11131 </w:instrText>
      </w:r>
      <w:r>
        <w:fldChar w:fldCharType="separate"/>
      </w:r>
      <w:r>
        <w:t>12</w:t>
      </w:r>
      <w:r>
        <w:fldChar w:fldCharType="end"/>
      </w:r>
      <w:r>
        <w:fldChar w:fldCharType="end"/>
      </w:r>
    </w:p>
    <w:p>
      <w:pPr>
        <w:pStyle w:val="8"/>
        <w:tabs>
          <w:tab w:val="right" w:leader="dot" w:pos="8959"/>
        </w:tabs>
      </w:pPr>
      <w:r>
        <w:fldChar w:fldCharType="begin"/>
      </w:r>
      <w:r>
        <w:instrText xml:space="preserve"> HYPERLINK \l "_Toc1756" </w:instrText>
      </w:r>
      <w:r>
        <w:fldChar w:fldCharType="separate"/>
      </w:r>
      <w:r>
        <w:rPr>
          <w:rFonts w:ascii="宋体" w:hAnsi="宋体"/>
        </w:rPr>
        <w:t>1</w:t>
      </w:r>
      <w:r>
        <w:rPr>
          <w:rFonts w:hint="eastAsia" w:ascii="宋体" w:hAnsi="宋体"/>
        </w:rPr>
        <w:t>3</w:t>
      </w:r>
      <w:r>
        <w:rPr>
          <w:rFonts w:ascii="宋体" w:hAnsi="宋体"/>
        </w:rPr>
        <w:t>.</w:t>
      </w:r>
      <w:r>
        <w:rPr>
          <w:rFonts w:hint="eastAsia" w:ascii="宋体" w:hAnsi="宋体"/>
        </w:rPr>
        <w:t xml:space="preserve"> 知识产权</w:t>
      </w:r>
      <w:r>
        <w:tab/>
      </w:r>
      <w:r>
        <w:fldChar w:fldCharType="begin"/>
      </w:r>
      <w:r>
        <w:instrText xml:space="preserve"> PAGEREF _Toc1756 </w:instrText>
      </w:r>
      <w:r>
        <w:fldChar w:fldCharType="separate"/>
      </w:r>
      <w:r>
        <w:t>12</w:t>
      </w:r>
      <w:r>
        <w:fldChar w:fldCharType="end"/>
      </w:r>
      <w:r>
        <w:fldChar w:fldCharType="end"/>
      </w:r>
    </w:p>
    <w:p>
      <w:pPr>
        <w:pStyle w:val="8"/>
        <w:tabs>
          <w:tab w:val="right" w:leader="dot" w:pos="8959"/>
        </w:tabs>
      </w:pPr>
      <w:r>
        <w:fldChar w:fldCharType="begin"/>
      </w:r>
      <w:r>
        <w:instrText xml:space="preserve"> HYPERLINK \l "_Toc1052" </w:instrText>
      </w:r>
      <w:r>
        <w:fldChar w:fldCharType="separate"/>
      </w:r>
      <w:r>
        <w:rPr>
          <w:rFonts w:hint="eastAsia" w:ascii="宋体" w:hAnsi="宋体"/>
        </w:rPr>
        <w:t>14. 比选申请文件的组成（实质性要求）</w:t>
      </w:r>
      <w:r>
        <w:tab/>
      </w:r>
      <w:r>
        <w:fldChar w:fldCharType="begin"/>
      </w:r>
      <w:r>
        <w:instrText xml:space="preserve"> PAGEREF _Toc1052 </w:instrText>
      </w:r>
      <w:r>
        <w:fldChar w:fldCharType="separate"/>
      </w:r>
      <w:r>
        <w:t>12</w:t>
      </w:r>
      <w:r>
        <w:fldChar w:fldCharType="end"/>
      </w:r>
      <w:r>
        <w:fldChar w:fldCharType="end"/>
      </w:r>
    </w:p>
    <w:p>
      <w:pPr>
        <w:pStyle w:val="8"/>
        <w:tabs>
          <w:tab w:val="right" w:leader="dot" w:pos="8959"/>
        </w:tabs>
      </w:pPr>
      <w:r>
        <w:fldChar w:fldCharType="begin"/>
      </w:r>
      <w:r>
        <w:instrText xml:space="preserve"> HYPERLINK \l "_Toc12834" </w:instrText>
      </w:r>
      <w:r>
        <w:fldChar w:fldCharType="separate"/>
      </w:r>
      <w:r>
        <w:rPr>
          <w:rFonts w:hint="eastAsia" w:ascii="宋体" w:hAnsi="宋体"/>
        </w:rPr>
        <w:t>15. 比选申请文件格式</w:t>
      </w:r>
      <w:r>
        <w:tab/>
      </w:r>
      <w:r>
        <w:fldChar w:fldCharType="begin"/>
      </w:r>
      <w:r>
        <w:instrText xml:space="preserve"> PAGEREF _Toc12834 </w:instrText>
      </w:r>
      <w:r>
        <w:fldChar w:fldCharType="separate"/>
      </w:r>
      <w:r>
        <w:t>13</w:t>
      </w:r>
      <w:r>
        <w:fldChar w:fldCharType="end"/>
      </w:r>
      <w:r>
        <w:fldChar w:fldCharType="end"/>
      </w:r>
    </w:p>
    <w:p>
      <w:pPr>
        <w:pStyle w:val="8"/>
        <w:tabs>
          <w:tab w:val="right" w:leader="dot" w:pos="8959"/>
        </w:tabs>
      </w:pPr>
      <w:r>
        <w:fldChar w:fldCharType="begin"/>
      </w:r>
      <w:r>
        <w:instrText xml:space="preserve"> HYPERLINK \l "_Toc31478" </w:instrText>
      </w:r>
      <w:r>
        <w:fldChar w:fldCharType="separate"/>
      </w:r>
      <w:r>
        <w:rPr>
          <w:rFonts w:hint="eastAsia" w:ascii="宋体" w:hAnsi="宋体"/>
        </w:rPr>
        <w:t>16. 比选有效期（实质性条件）</w:t>
      </w:r>
      <w:r>
        <w:tab/>
      </w:r>
      <w:r>
        <w:fldChar w:fldCharType="begin"/>
      </w:r>
      <w:r>
        <w:instrText xml:space="preserve"> PAGEREF _Toc31478 </w:instrText>
      </w:r>
      <w:r>
        <w:fldChar w:fldCharType="separate"/>
      </w:r>
      <w:r>
        <w:t>13</w:t>
      </w:r>
      <w:r>
        <w:fldChar w:fldCharType="end"/>
      </w:r>
      <w:r>
        <w:fldChar w:fldCharType="end"/>
      </w:r>
    </w:p>
    <w:p>
      <w:pPr>
        <w:pStyle w:val="8"/>
        <w:tabs>
          <w:tab w:val="right" w:leader="dot" w:pos="8959"/>
        </w:tabs>
      </w:pPr>
      <w:r>
        <w:fldChar w:fldCharType="begin"/>
      </w:r>
      <w:r>
        <w:instrText xml:space="preserve"> HYPERLINK \l "_Toc6966" </w:instrText>
      </w:r>
      <w:r>
        <w:fldChar w:fldCharType="separate"/>
      </w:r>
      <w:r>
        <w:rPr>
          <w:rFonts w:hint="eastAsia" w:ascii="宋体" w:hAnsi="宋体"/>
        </w:rPr>
        <w:t>17. 比选申请文件的印制和签署</w:t>
      </w:r>
      <w:r>
        <w:tab/>
      </w:r>
      <w:r>
        <w:fldChar w:fldCharType="begin"/>
      </w:r>
      <w:r>
        <w:instrText xml:space="preserve"> PAGEREF _Toc6966 </w:instrText>
      </w:r>
      <w:r>
        <w:fldChar w:fldCharType="separate"/>
      </w:r>
      <w:r>
        <w:t>13</w:t>
      </w:r>
      <w:r>
        <w:fldChar w:fldCharType="end"/>
      </w:r>
      <w:r>
        <w:fldChar w:fldCharType="end"/>
      </w:r>
    </w:p>
    <w:p>
      <w:pPr>
        <w:pStyle w:val="8"/>
        <w:tabs>
          <w:tab w:val="right" w:leader="dot" w:pos="8959"/>
        </w:tabs>
      </w:pPr>
      <w:r>
        <w:fldChar w:fldCharType="begin"/>
      </w:r>
      <w:r>
        <w:instrText xml:space="preserve"> HYPERLINK \l "_Toc12268" </w:instrText>
      </w:r>
      <w:r>
        <w:fldChar w:fldCharType="separate"/>
      </w:r>
      <w:r>
        <w:rPr>
          <w:rFonts w:hint="eastAsia" w:ascii="宋体" w:hAnsi="宋体"/>
        </w:rPr>
        <w:t>18. 比选申请文件的密封和标注</w:t>
      </w:r>
      <w:r>
        <w:tab/>
      </w:r>
      <w:r>
        <w:fldChar w:fldCharType="begin"/>
      </w:r>
      <w:r>
        <w:instrText xml:space="preserve"> PAGEREF _Toc12268 </w:instrText>
      </w:r>
      <w:r>
        <w:fldChar w:fldCharType="separate"/>
      </w:r>
      <w:r>
        <w:t>14</w:t>
      </w:r>
      <w:r>
        <w:fldChar w:fldCharType="end"/>
      </w:r>
      <w:r>
        <w:fldChar w:fldCharType="end"/>
      </w:r>
    </w:p>
    <w:p>
      <w:pPr>
        <w:pStyle w:val="8"/>
        <w:tabs>
          <w:tab w:val="right" w:leader="dot" w:pos="8959"/>
        </w:tabs>
      </w:pPr>
      <w:r>
        <w:fldChar w:fldCharType="begin"/>
      </w:r>
      <w:r>
        <w:instrText xml:space="preserve"> HYPERLINK \l "_Toc8279" </w:instrText>
      </w:r>
      <w:r>
        <w:fldChar w:fldCharType="separate"/>
      </w:r>
      <w:r>
        <w:rPr>
          <w:rFonts w:hint="eastAsia" w:ascii="宋体" w:hAnsi="宋体"/>
        </w:rPr>
        <w:t>19. 比选申请文件的递交</w:t>
      </w:r>
      <w:r>
        <w:tab/>
      </w:r>
      <w:r>
        <w:fldChar w:fldCharType="begin"/>
      </w:r>
      <w:r>
        <w:instrText xml:space="preserve"> PAGEREF _Toc8279 </w:instrText>
      </w:r>
      <w:r>
        <w:fldChar w:fldCharType="separate"/>
      </w:r>
      <w:r>
        <w:t>14</w:t>
      </w:r>
      <w:r>
        <w:fldChar w:fldCharType="end"/>
      </w:r>
      <w:r>
        <w:fldChar w:fldCharType="end"/>
      </w:r>
    </w:p>
    <w:p>
      <w:pPr>
        <w:pStyle w:val="8"/>
        <w:tabs>
          <w:tab w:val="right" w:leader="dot" w:pos="8959"/>
        </w:tabs>
      </w:pPr>
      <w:r>
        <w:fldChar w:fldCharType="begin"/>
      </w:r>
      <w:r>
        <w:instrText xml:space="preserve"> HYPERLINK \l "_Toc22180" </w:instrText>
      </w:r>
      <w:r>
        <w:fldChar w:fldCharType="separate"/>
      </w:r>
      <w:r>
        <w:rPr>
          <w:rFonts w:hint="eastAsia" w:ascii="宋体" w:hAnsi="宋体"/>
        </w:rPr>
        <w:t>20. 比选申请文件的修改和撤回</w:t>
      </w:r>
      <w:r>
        <w:tab/>
      </w:r>
      <w:r>
        <w:fldChar w:fldCharType="begin"/>
      </w:r>
      <w:r>
        <w:instrText xml:space="preserve"> PAGEREF _Toc22180 </w:instrText>
      </w:r>
      <w:r>
        <w:fldChar w:fldCharType="separate"/>
      </w:r>
      <w:r>
        <w:t>14</w:t>
      </w:r>
      <w:r>
        <w:fldChar w:fldCharType="end"/>
      </w:r>
      <w:r>
        <w:fldChar w:fldCharType="end"/>
      </w:r>
    </w:p>
    <w:p>
      <w:pPr>
        <w:pStyle w:val="12"/>
        <w:tabs>
          <w:tab w:val="right" w:leader="dot" w:pos="8959"/>
        </w:tabs>
      </w:pPr>
      <w:r>
        <w:fldChar w:fldCharType="begin"/>
      </w:r>
      <w:r>
        <w:instrText xml:space="preserve"> HYPERLINK \l "_Toc9090" </w:instrText>
      </w:r>
      <w:r>
        <w:fldChar w:fldCharType="separate"/>
      </w:r>
      <w:r>
        <w:rPr>
          <w:rFonts w:hint="eastAsia"/>
        </w:rPr>
        <w:t>五、开标和成交</w:t>
      </w:r>
      <w:r>
        <w:tab/>
      </w:r>
      <w:r>
        <w:fldChar w:fldCharType="begin"/>
      </w:r>
      <w:r>
        <w:instrText xml:space="preserve"> PAGEREF _Toc9090 </w:instrText>
      </w:r>
      <w:r>
        <w:fldChar w:fldCharType="separate"/>
      </w:r>
      <w:r>
        <w:t>15</w:t>
      </w:r>
      <w:r>
        <w:fldChar w:fldCharType="end"/>
      </w:r>
      <w:r>
        <w:fldChar w:fldCharType="end"/>
      </w:r>
    </w:p>
    <w:p>
      <w:pPr>
        <w:pStyle w:val="8"/>
        <w:tabs>
          <w:tab w:val="right" w:leader="dot" w:pos="8959"/>
        </w:tabs>
      </w:pPr>
      <w:r>
        <w:fldChar w:fldCharType="begin"/>
      </w:r>
      <w:r>
        <w:instrText xml:space="preserve"> HYPERLINK \l "_Toc6733" </w:instrText>
      </w:r>
      <w:r>
        <w:fldChar w:fldCharType="separate"/>
      </w:r>
      <w:r>
        <w:rPr>
          <w:rFonts w:hint="eastAsia" w:ascii="宋体" w:hAnsi="宋体"/>
        </w:rPr>
        <w:t>21．开标</w:t>
      </w:r>
      <w:r>
        <w:tab/>
      </w:r>
      <w:r>
        <w:fldChar w:fldCharType="begin"/>
      </w:r>
      <w:r>
        <w:instrText xml:space="preserve"> PAGEREF _Toc6733 </w:instrText>
      </w:r>
      <w:r>
        <w:fldChar w:fldCharType="separate"/>
      </w:r>
      <w:r>
        <w:t>15</w:t>
      </w:r>
      <w:r>
        <w:fldChar w:fldCharType="end"/>
      </w:r>
      <w:r>
        <w:fldChar w:fldCharType="end"/>
      </w:r>
    </w:p>
    <w:p>
      <w:pPr>
        <w:pStyle w:val="8"/>
        <w:tabs>
          <w:tab w:val="right" w:leader="dot" w:pos="8959"/>
        </w:tabs>
      </w:pPr>
      <w:r>
        <w:fldChar w:fldCharType="begin"/>
      </w:r>
      <w:r>
        <w:instrText xml:space="preserve"> HYPERLINK \l "_Toc22443" </w:instrText>
      </w:r>
      <w:r>
        <w:fldChar w:fldCharType="separate"/>
      </w:r>
      <w:r>
        <w:rPr>
          <w:rFonts w:hint="eastAsia" w:ascii="宋体" w:hAnsi="宋体"/>
        </w:rPr>
        <w:t>22. 开标程序</w:t>
      </w:r>
      <w:r>
        <w:tab/>
      </w:r>
      <w:r>
        <w:fldChar w:fldCharType="begin"/>
      </w:r>
      <w:r>
        <w:instrText xml:space="preserve"> PAGEREF _Toc22443 </w:instrText>
      </w:r>
      <w:r>
        <w:fldChar w:fldCharType="separate"/>
      </w:r>
      <w:r>
        <w:t>15</w:t>
      </w:r>
      <w:r>
        <w:fldChar w:fldCharType="end"/>
      </w:r>
      <w:r>
        <w:fldChar w:fldCharType="end"/>
      </w:r>
    </w:p>
    <w:p>
      <w:pPr>
        <w:pStyle w:val="8"/>
        <w:tabs>
          <w:tab w:val="right" w:leader="dot" w:pos="8959"/>
        </w:tabs>
      </w:pPr>
      <w:r>
        <w:fldChar w:fldCharType="begin"/>
      </w:r>
      <w:r>
        <w:instrText xml:space="preserve"> HYPERLINK \l "_Toc19588" </w:instrText>
      </w:r>
      <w:r>
        <w:fldChar w:fldCharType="separate"/>
      </w:r>
      <w:r>
        <w:rPr>
          <w:rFonts w:hint="eastAsia" w:ascii="宋体" w:hAnsi="宋体"/>
        </w:rPr>
        <w:t>23．开评标过程存档</w:t>
      </w:r>
      <w:r>
        <w:tab/>
      </w:r>
      <w:r>
        <w:fldChar w:fldCharType="begin"/>
      </w:r>
      <w:r>
        <w:instrText xml:space="preserve"> PAGEREF _Toc19588 </w:instrText>
      </w:r>
      <w:r>
        <w:fldChar w:fldCharType="separate"/>
      </w:r>
      <w:r>
        <w:t>16</w:t>
      </w:r>
      <w:r>
        <w:fldChar w:fldCharType="end"/>
      </w:r>
      <w:r>
        <w:fldChar w:fldCharType="end"/>
      </w:r>
    </w:p>
    <w:p>
      <w:pPr>
        <w:pStyle w:val="8"/>
        <w:tabs>
          <w:tab w:val="right" w:leader="dot" w:pos="8959"/>
        </w:tabs>
      </w:pPr>
      <w:r>
        <w:fldChar w:fldCharType="begin"/>
      </w:r>
      <w:r>
        <w:instrText xml:space="preserve"> HYPERLINK \l "_Toc28813" </w:instrText>
      </w:r>
      <w:r>
        <w:fldChar w:fldCharType="separate"/>
      </w:r>
      <w:r>
        <w:rPr>
          <w:rFonts w:hint="eastAsia" w:ascii="宋体" w:hAnsi="宋体"/>
        </w:rPr>
        <w:t>24. 评标情况公告</w:t>
      </w:r>
      <w:r>
        <w:tab/>
      </w:r>
      <w:r>
        <w:fldChar w:fldCharType="begin"/>
      </w:r>
      <w:r>
        <w:instrText xml:space="preserve"> PAGEREF _Toc28813 </w:instrText>
      </w:r>
      <w:r>
        <w:fldChar w:fldCharType="separate"/>
      </w:r>
      <w:r>
        <w:t>16</w:t>
      </w:r>
      <w:r>
        <w:fldChar w:fldCharType="end"/>
      </w:r>
      <w:r>
        <w:fldChar w:fldCharType="end"/>
      </w:r>
    </w:p>
    <w:p>
      <w:pPr>
        <w:pStyle w:val="8"/>
        <w:tabs>
          <w:tab w:val="right" w:leader="dot" w:pos="8959"/>
        </w:tabs>
      </w:pPr>
      <w:r>
        <w:fldChar w:fldCharType="begin"/>
      </w:r>
      <w:r>
        <w:instrText xml:space="preserve"> HYPERLINK \l "_Toc8291" </w:instrText>
      </w:r>
      <w:r>
        <w:fldChar w:fldCharType="separate"/>
      </w:r>
      <w:r>
        <w:rPr>
          <w:rFonts w:hint="eastAsia" w:ascii="宋体" w:hAnsi="宋体"/>
        </w:rPr>
        <w:t>25. 成交通知书</w:t>
      </w:r>
      <w:r>
        <w:tab/>
      </w:r>
      <w:r>
        <w:fldChar w:fldCharType="begin"/>
      </w:r>
      <w:r>
        <w:instrText xml:space="preserve"> PAGEREF _Toc8291 </w:instrText>
      </w:r>
      <w:r>
        <w:fldChar w:fldCharType="separate"/>
      </w:r>
      <w:r>
        <w:t>16</w:t>
      </w:r>
      <w:r>
        <w:fldChar w:fldCharType="end"/>
      </w:r>
      <w:r>
        <w:fldChar w:fldCharType="end"/>
      </w:r>
    </w:p>
    <w:p>
      <w:pPr>
        <w:pStyle w:val="12"/>
        <w:tabs>
          <w:tab w:val="right" w:leader="dot" w:pos="8959"/>
        </w:tabs>
      </w:pPr>
      <w:r>
        <w:fldChar w:fldCharType="begin"/>
      </w:r>
      <w:r>
        <w:instrText xml:space="preserve"> HYPERLINK \l "_Toc4608" </w:instrText>
      </w:r>
      <w:r>
        <w:fldChar w:fldCharType="separate"/>
      </w:r>
      <w:r>
        <w:rPr>
          <w:rFonts w:hint="eastAsia"/>
        </w:rPr>
        <w:t>六、签订及履行合同</w:t>
      </w:r>
      <w:r>
        <w:tab/>
      </w:r>
      <w:r>
        <w:fldChar w:fldCharType="begin"/>
      </w:r>
      <w:r>
        <w:instrText xml:space="preserve"> PAGEREF _Toc4608 </w:instrText>
      </w:r>
      <w:r>
        <w:fldChar w:fldCharType="separate"/>
      </w:r>
      <w:r>
        <w:t>16</w:t>
      </w:r>
      <w:r>
        <w:fldChar w:fldCharType="end"/>
      </w:r>
      <w:r>
        <w:fldChar w:fldCharType="end"/>
      </w:r>
    </w:p>
    <w:p>
      <w:pPr>
        <w:pStyle w:val="8"/>
        <w:tabs>
          <w:tab w:val="right" w:leader="dot" w:pos="8959"/>
        </w:tabs>
      </w:pPr>
      <w:r>
        <w:fldChar w:fldCharType="begin"/>
      </w:r>
      <w:r>
        <w:instrText xml:space="preserve"> HYPERLINK \l "_Toc31485" </w:instrText>
      </w:r>
      <w:r>
        <w:fldChar w:fldCharType="separate"/>
      </w:r>
      <w:r>
        <w:rPr>
          <w:rFonts w:hint="eastAsia" w:ascii="宋体" w:hAnsi="宋体"/>
        </w:rPr>
        <w:t>26. 签订合同</w:t>
      </w:r>
      <w:r>
        <w:tab/>
      </w:r>
      <w:r>
        <w:fldChar w:fldCharType="begin"/>
      </w:r>
      <w:r>
        <w:instrText xml:space="preserve"> PAGEREF _Toc31485 </w:instrText>
      </w:r>
      <w:r>
        <w:fldChar w:fldCharType="separate"/>
      </w:r>
      <w:r>
        <w:t>16</w:t>
      </w:r>
      <w:r>
        <w:fldChar w:fldCharType="end"/>
      </w:r>
      <w:r>
        <w:fldChar w:fldCharType="end"/>
      </w:r>
    </w:p>
    <w:p>
      <w:pPr>
        <w:pStyle w:val="8"/>
        <w:tabs>
          <w:tab w:val="right" w:leader="dot" w:pos="8959"/>
        </w:tabs>
      </w:pPr>
      <w:r>
        <w:fldChar w:fldCharType="begin"/>
      </w:r>
      <w:r>
        <w:instrText xml:space="preserve"> HYPERLINK \l "_Toc762" </w:instrText>
      </w:r>
      <w:r>
        <w:fldChar w:fldCharType="separate"/>
      </w:r>
      <w:r>
        <w:rPr>
          <w:rFonts w:hint="eastAsia" w:ascii="宋体" w:hAnsi="宋体"/>
        </w:rPr>
        <w:t>27. 合同分包（实质性要求）</w:t>
      </w:r>
      <w:r>
        <w:tab/>
      </w:r>
      <w:r>
        <w:fldChar w:fldCharType="begin"/>
      </w:r>
      <w:r>
        <w:instrText xml:space="preserve"> PAGEREF _Toc762 </w:instrText>
      </w:r>
      <w:r>
        <w:fldChar w:fldCharType="separate"/>
      </w:r>
      <w:r>
        <w:t>17</w:t>
      </w:r>
      <w:r>
        <w:fldChar w:fldCharType="end"/>
      </w:r>
      <w:r>
        <w:fldChar w:fldCharType="end"/>
      </w:r>
    </w:p>
    <w:p>
      <w:pPr>
        <w:pStyle w:val="8"/>
        <w:tabs>
          <w:tab w:val="right" w:leader="dot" w:pos="8959"/>
        </w:tabs>
      </w:pPr>
      <w:r>
        <w:fldChar w:fldCharType="begin"/>
      </w:r>
      <w:r>
        <w:instrText xml:space="preserve"> HYPERLINK \l "_Toc27864" </w:instrText>
      </w:r>
      <w:r>
        <w:fldChar w:fldCharType="separate"/>
      </w:r>
      <w:r>
        <w:rPr>
          <w:rFonts w:hint="eastAsia" w:ascii="宋体" w:hAnsi="宋体"/>
        </w:rPr>
        <w:t>28. 履行合同</w:t>
      </w:r>
      <w:r>
        <w:tab/>
      </w:r>
      <w:r>
        <w:fldChar w:fldCharType="begin"/>
      </w:r>
      <w:r>
        <w:instrText xml:space="preserve"> PAGEREF _Toc27864 </w:instrText>
      </w:r>
      <w:r>
        <w:fldChar w:fldCharType="separate"/>
      </w:r>
      <w:r>
        <w:t>17</w:t>
      </w:r>
      <w:r>
        <w:fldChar w:fldCharType="end"/>
      </w:r>
      <w:r>
        <w:fldChar w:fldCharType="end"/>
      </w:r>
    </w:p>
    <w:p>
      <w:pPr>
        <w:pStyle w:val="12"/>
        <w:tabs>
          <w:tab w:val="right" w:leader="dot" w:pos="8959"/>
        </w:tabs>
      </w:pPr>
      <w:r>
        <w:fldChar w:fldCharType="begin"/>
      </w:r>
      <w:r>
        <w:instrText xml:space="preserve"> HYPERLINK \l "_Toc2472" </w:instrText>
      </w:r>
      <w:r>
        <w:fldChar w:fldCharType="separate"/>
      </w:r>
      <w:r>
        <w:rPr>
          <w:rFonts w:hint="eastAsia"/>
        </w:rPr>
        <w:t>七、纪律要求</w:t>
      </w:r>
      <w:r>
        <w:tab/>
      </w:r>
      <w:r>
        <w:fldChar w:fldCharType="begin"/>
      </w:r>
      <w:r>
        <w:instrText xml:space="preserve"> PAGEREF _Toc2472 </w:instrText>
      </w:r>
      <w:r>
        <w:fldChar w:fldCharType="separate"/>
      </w:r>
      <w:r>
        <w:t>17</w:t>
      </w:r>
      <w:r>
        <w:fldChar w:fldCharType="end"/>
      </w:r>
      <w:r>
        <w:fldChar w:fldCharType="end"/>
      </w:r>
    </w:p>
    <w:p>
      <w:pPr>
        <w:pStyle w:val="8"/>
        <w:tabs>
          <w:tab w:val="right" w:leader="dot" w:pos="8959"/>
        </w:tabs>
      </w:pPr>
      <w:r>
        <w:fldChar w:fldCharType="begin"/>
      </w:r>
      <w:r>
        <w:instrText xml:space="preserve"> HYPERLINK \l "_Toc17450" </w:instrText>
      </w:r>
      <w:r>
        <w:fldChar w:fldCharType="separate"/>
      </w:r>
      <w:r>
        <w:rPr>
          <w:rFonts w:hint="eastAsia" w:ascii="宋体" w:hAnsi="宋体"/>
        </w:rPr>
        <w:t>29. 比选申请人不得具有的情形</w:t>
      </w:r>
      <w:r>
        <w:tab/>
      </w:r>
      <w:r>
        <w:fldChar w:fldCharType="begin"/>
      </w:r>
      <w:r>
        <w:instrText xml:space="preserve"> PAGEREF _Toc17450 </w:instrText>
      </w:r>
      <w:r>
        <w:fldChar w:fldCharType="separate"/>
      </w:r>
      <w:r>
        <w:t>17</w:t>
      </w:r>
      <w:r>
        <w:fldChar w:fldCharType="end"/>
      </w:r>
      <w:r>
        <w:fldChar w:fldCharType="end"/>
      </w:r>
    </w:p>
    <w:p>
      <w:pPr>
        <w:pStyle w:val="12"/>
        <w:tabs>
          <w:tab w:val="right" w:leader="dot" w:pos="8959"/>
        </w:tabs>
      </w:pPr>
      <w:r>
        <w:fldChar w:fldCharType="begin"/>
      </w:r>
      <w:r>
        <w:instrText xml:space="preserve"> HYPERLINK \l "_Toc16706" </w:instrText>
      </w:r>
      <w:r>
        <w:fldChar w:fldCharType="separate"/>
      </w:r>
      <w:r>
        <w:rPr>
          <w:rFonts w:hint="eastAsia"/>
        </w:rPr>
        <w:t>八、资金支付</w:t>
      </w:r>
      <w:r>
        <w:tab/>
      </w:r>
      <w:r>
        <w:fldChar w:fldCharType="begin"/>
      </w:r>
      <w:r>
        <w:instrText xml:space="preserve"> PAGEREF _Toc16706 </w:instrText>
      </w:r>
      <w:r>
        <w:fldChar w:fldCharType="separate"/>
      </w:r>
      <w:r>
        <w:t>18</w:t>
      </w:r>
      <w:r>
        <w:fldChar w:fldCharType="end"/>
      </w:r>
      <w:r>
        <w:fldChar w:fldCharType="end"/>
      </w:r>
    </w:p>
    <w:p>
      <w:pPr>
        <w:pStyle w:val="8"/>
        <w:tabs>
          <w:tab w:val="right" w:leader="dot" w:pos="8959"/>
        </w:tabs>
      </w:pPr>
      <w:r>
        <w:fldChar w:fldCharType="begin"/>
      </w:r>
      <w:r>
        <w:instrText xml:space="preserve"> HYPERLINK \l "_Toc26066" </w:instrText>
      </w:r>
      <w:r>
        <w:fldChar w:fldCharType="separate"/>
      </w:r>
      <w:r>
        <w:rPr>
          <w:rFonts w:hint="eastAsia" w:ascii="宋体" w:hAnsi="宋体"/>
        </w:rPr>
        <w:t>30</w:t>
      </w:r>
      <w:r>
        <w:rPr>
          <w:rFonts w:ascii="宋体" w:hAnsi="宋体"/>
        </w:rPr>
        <w:t>.</w:t>
      </w:r>
      <w:r>
        <w:rPr>
          <w:rFonts w:hint="eastAsia" w:ascii="宋体" w:hAnsi="宋体"/>
        </w:rPr>
        <w:t xml:space="preserve"> 资金支付</w:t>
      </w:r>
      <w:r>
        <w:tab/>
      </w:r>
      <w:r>
        <w:fldChar w:fldCharType="begin"/>
      </w:r>
      <w:r>
        <w:instrText xml:space="preserve"> PAGEREF _Toc26066 </w:instrText>
      </w:r>
      <w:r>
        <w:fldChar w:fldCharType="separate"/>
      </w:r>
      <w:r>
        <w:t>18</w:t>
      </w:r>
      <w:r>
        <w:fldChar w:fldCharType="end"/>
      </w:r>
      <w:r>
        <w:fldChar w:fldCharType="end"/>
      </w:r>
    </w:p>
    <w:p>
      <w:pPr>
        <w:pStyle w:val="12"/>
        <w:tabs>
          <w:tab w:val="right" w:leader="dot" w:pos="8959"/>
        </w:tabs>
      </w:pPr>
      <w:r>
        <w:fldChar w:fldCharType="begin"/>
      </w:r>
      <w:r>
        <w:instrText xml:space="preserve"> HYPERLINK \l "_Toc32646" </w:instrText>
      </w:r>
      <w:r>
        <w:fldChar w:fldCharType="separate"/>
      </w:r>
      <w:r>
        <w:rPr>
          <w:rFonts w:hint="eastAsia"/>
        </w:rPr>
        <w:t>九、比选代理服务费</w:t>
      </w:r>
      <w:r>
        <w:tab/>
      </w:r>
      <w:r>
        <w:fldChar w:fldCharType="begin"/>
      </w:r>
      <w:r>
        <w:instrText xml:space="preserve"> PAGEREF _Toc32646 </w:instrText>
      </w:r>
      <w:r>
        <w:fldChar w:fldCharType="separate"/>
      </w:r>
      <w:r>
        <w:t>18</w:t>
      </w:r>
      <w:r>
        <w:fldChar w:fldCharType="end"/>
      </w:r>
      <w:r>
        <w:fldChar w:fldCharType="end"/>
      </w:r>
    </w:p>
    <w:p>
      <w:pPr>
        <w:pStyle w:val="11"/>
        <w:tabs>
          <w:tab w:val="right" w:leader="dot" w:pos="8959"/>
          <w:tab w:val="clear" w:pos="8949"/>
        </w:tabs>
      </w:pPr>
      <w:r>
        <w:fldChar w:fldCharType="begin"/>
      </w:r>
      <w:r>
        <w:instrText xml:space="preserve"> HYPERLINK \l "_Toc19317" </w:instrText>
      </w:r>
      <w:r>
        <w:fldChar w:fldCharType="separate"/>
      </w:r>
      <w:r>
        <w:rPr>
          <w:rFonts w:eastAsia="黑体"/>
          <w:szCs w:val="32"/>
        </w:rPr>
        <w:t xml:space="preserve">第三章 </w:t>
      </w:r>
      <w:r>
        <w:rPr>
          <w:rFonts w:hint="eastAsia" w:eastAsia="黑体"/>
          <w:szCs w:val="32"/>
        </w:rPr>
        <w:t xml:space="preserve"> 比选申请</w:t>
      </w:r>
      <w:r>
        <w:rPr>
          <w:rFonts w:eastAsia="黑体"/>
          <w:szCs w:val="32"/>
        </w:rPr>
        <w:t>文件格式</w:t>
      </w:r>
      <w:r>
        <w:tab/>
      </w:r>
      <w:r>
        <w:fldChar w:fldCharType="begin"/>
      </w:r>
      <w:r>
        <w:instrText xml:space="preserve"> PAGEREF _Toc19317 </w:instrText>
      </w:r>
      <w:r>
        <w:fldChar w:fldCharType="separate"/>
      </w:r>
      <w:r>
        <w:t>19</w:t>
      </w:r>
      <w:r>
        <w:fldChar w:fldCharType="end"/>
      </w:r>
      <w:r>
        <w:fldChar w:fldCharType="end"/>
      </w:r>
    </w:p>
    <w:p>
      <w:pPr>
        <w:pStyle w:val="12"/>
        <w:tabs>
          <w:tab w:val="right" w:leader="dot" w:pos="8959"/>
        </w:tabs>
      </w:pPr>
      <w:r>
        <w:fldChar w:fldCharType="begin"/>
      </w:r>
      <w:r>
        <w:instrText xml:space="preserve"> HYPERLINK \l "_Toc20218" </w:instrText>
      </w:r>
      <w:r>
        <w:fldChar w:fldCharType="separate"/>
      </w:r>
      <w:r>
        <w:rPr>
          <w:rFonts w:hint="eastAsia" w:ascii="Arial" w:hAnsi="Arial"/>
          <w:bCs/>
          <w:szCs w:val="32"/>
        </w:rPr>
        <w:t>一、比 选 申 请 函</w:t>
      </w:r>
      <w:r>
        <w:tab/>
      </w:r>
      <w:r>
        <w:fldChar w:fldCharType="begin"/>
      </w:r>
      <w:r>
        <w:instrText xml:space="preserve"> PAGEREF _Toc20218 </w:instrText>
      </w:r>
      <w:r>
        <w:fldChar w:fldCharType="separate"/>
      </w:r>
      <w:r>
        <w:t>19</w:t>
      </w:r>
      <w:r>
        <w:fldChar w:fldCharType="end"/>
      </w:r>
      <w:r>
        <w:fldChar w:fldCharType="end"/>
      </w:r>
    </w:p>
    <w:p>
      <w:pPr>
        <w:pStyle w:val="12"/>
        <w:tabs>
          <w:tab w:val="right" w:leader="dot" w:pos="8959"/>
        </w:tabs>
      </w:pPr>
      <w:r>
        <w:fldChar w:fldCharType="begin"/>
      </w:r>
      <w:r>
        <w:instrText xml:space="preserve"> HYPERLINK \l "_Toc14114" </w:instrText>
      </w:r>
      <w:r>
        <w:fldChar w:fldCharType="separate"/>
      </w:r>
      <w:r>
        <w:t>二、法定代表人授权书</w:t>
      </w:r>
      <w:r>
        <w:tab/>
      </w:r>
      <w:r>
        <w:fldChar w:fldCharType="begin"/>
      </w:r>
      <w:r>
        <w:instrText xml:space="preserve"> PAGEREF _Toc14114 </w:instrText>
      </w:r>
      <w:r>
        <w:fldChar w:fldCharType="separate"/>
      </w:r>
      <w:r>
        <w:t>20</w:t>
      </w:r>
      <w:r>
        <w:fldChar w:fldCharType="end"/>
      </w:r>
      <w:r>
        <w:fldChar w:fldCharType="end"/>
      </w:r>
    </w:p>
    <w:p>
      <w:pPr>
        <w:pStyle w:val="12"/>
        <w:tabs>
          <w:tab w:val="right" w:leader="dot" w:pos="8959"/>
        </w:tabs>
      </w:pPr>
      <w:r>
        <w:fldChar w:fldCharType="begin"/>
      </w:r>
      <w:r>
        <w:instrText xml:space="preserve"> HYPERLINK \l "_Toc27759" </w:instrText>
      </w:r>
      <w:r>
        <w:fldChar w:fldCharType="separate"/>
      </w:r>
      <w:r>
        <w:rPr>
          <w:szCs w:val="28"/>
        </w:rPr>
        <w:t>三、开标一览表</w:t>
      </w:r>
      <w:r>
        <w:tab/>
      </w:r>
      <w:r>
        <w:fldChar w:fldCharType="begin"/>
      </w:r>
      <w:r>
        <w:instrText xml:space="preserve"> PAGEREF _Toc27759 </w:instrText>
      </w:r>
      <w:r>
        <w:fldChar w:fldCharType="separate"/>
      </w:r>
      <w:r>
        <w:t>21</w:t>
      </w:r>
      <w:r>
        <w:fldChar w:fldCharType="end"/>
      </w:r>
      <w:r>
        <w:fldChar w:fldCharType="end"/>
      </w:r>
    </w:p>
    <w:p>
      <w:pPr>
        <w:pStyle w:val="12"/>
        <w:tabs>
          <w:tab w:val="right" w:leader="dot" w:pos="8959"/>
        </w:tabs>
      </w:pPr>
      <w:r>
        <w:fldChar w:fldCharType="begin"/>
      </w:r>
      <w:r>
        <w:instrText xml:space="preserve"> HYPERLINK \l "_Toc29031" </w:instrText>
      </w:r>
      <w:r>
        <w:fldChar w:fldCharType="separate"/>
      </w:r>
      <w:r>
        <w:rPr>
          <w:rFonts w:hint="eastAsia"/>
          <w:kern w:val="0"/>
          <w:szCs w:val="28"/>
        </w:rPr>
        <w:t>四</w:t>
      </w:r>
      <w:r>
        <w:rPr>
          <w:kern w:val="0"/>
          <w:szCs w:val="28"/>
        </w:rPr>
        <w:t>、</w:t>
      </w:r>
      <w:r>
        <w:rPr>
          <w:rFonts w:hint="eastAsia"/>
          <w:kern w:val="0"/>
          <w:szCs w:val="28"/>
        </w:rPr>
        <w:t>比选申请</w:t>
      </w:r>
      <w:r>
        <w:rPr>
          <w:kern w:val="0"/>
          <w:szCs w:val="28"/>
        </w:rPr>
        <w:t>人基本情况表</w:t>
      </w:r>
      <w:r>
        <w:tab/>
      </w:r>
      <w:r>
        <w:fldChar w:fldCharType="begin"/>
      </w:r>
      <w:r>
        <w:instrText xml:space="preserve"> PAGEREF _Toc29031 </w:instrText>
      </w:r>
      <w:r>
        <w:fldChar w:fldCharType="separate"/>
      </w:r>
      <w:r>
        <w:t>22</w:t>
      </w:r>
      <w:r>
        <w:fldChar w:fldCharType="end"/>
      </w:r>
      <w:r>
        <w:fldChar w:fldCharType="end"/>
      </w:r>
    </w:p>
    <w:p>
      <w:pPr>
        <w:pStyle w:val="12"/>
        <w:tabs>
          <w:tab w:val="right" w:leader="dot" w:pos="8959"/>
        </w:tabs>
      </w:pPr>
      <w:r>
        <w:fldChar w:fldCharType="begin"/>
      </w:r>
      <w:r>
        <w:instrText xml:space="preserve"> HYPERLINK \l "_Toc26965" </w:instrText>
      </w:r>
      <w:r>
        <w:fldChar w:fldCharType="separate"/>
      </w:r>
      <w:r>
        <w:rPr>
          <w:rFonts w:hint="eastAsia"/>
          <w:kern w:val="0"/>
          <w:szCs w:val="28"/>
        </w:rPr>
        <w:t>五、</w:t>
      </w:r>
      <w:r>
        <w:rPr>
          <w:rFonts w:hint="eastAsia"/>
          <w:szCs w:val="28"/>
        </w:rPr>
        <w:t>服务应答表</w:t>
      </w:r>
      <w:r>
        <w:tab/>
      </w:r>
      <w:r>
        <w:fldChar w:fldCharType="begin"/>
      </w:r>
      <w:r>
        <w:instrText xml:space="preserve"> PAGEREF _Toc26965 </w:instrText>
      </w:r>
      <w:r>
        <w:fldChar w:fldCharType="separate"/>
      </w:r>
      <w:r>
        <w:t>23</w:t>
      </w:r>
      <w:r>
        <w:fldChar w:fldCharType="end"/>
      </w:r>
      <w:r>
        <w:fldChar w:fldCharType="end"/>
      </w:r>
    </w:p>
    <w:p>
      <w:pPr>
        <w:pStyle w:val="12"/>
        <w:tabs>
          <w:tab w:val="right" w:leader="dot" w:pos="8959"/>
        </w:tabs>
      </w:pPr>
      <w:r>
        <w:fldChar w:fldCharType="begin"/>
      </w:r>
      <w:r>
        <w:instrText xml:space="preserve"> HYPERLINK \l "_Toc19647" </w:instrText>
      </w:r>
      <w:r>
        <w:fldChar w:fldCharType="separate"/>
      </w:r>
      <w:r>
        <w:rPr>
          <w:rFonts w:hint="eastAsia"/>
          <w:kern w:val="0"/>
          <w:szCs w:val="28"/>
        </w:rPr>
        <w:t>六</w:t>
      </w:r>
      <w:r>
        <w:rPr>
          <w:kern w:val="0"/>
          <w:szCs w:val="28"/>
        </w:rPr>
        <w:t>、</w:t>
      </w:r>
      <w:r>
        <w:rPr>
          <w:rFonts w:hint="eastAsia"/>
          <w:kern w:val="0"/>
          <w:szCs w:val="28"/>
        </w:rPr>
        <w:t>比选申请</w:t>
      </w:r>
      <w:r>
        <w:rPr>
          <w:kern w:val="0"/>
          <w:szCs w:val="28"/>
        </w:rPr>
        <w:t>人本项目管理、技术、服务人员情况表</w:t>
      </w:r>
      <w:r>
        <w:tab/>
      </w:r>
      <w:r>
        <w:fldChar w:fldCharType="begin"/>
      </w:r>
      <w:r>
        <w:instrText xml:space="preserve"> PAGEREF _Toc19647 </w:instrText>
      </w:r>
      <w:r>
        <w:fldChar w:fldCharType="separate"/>
      </w:r>
      <w:r>
        <w:t>24</w:t>
      </w:r>
      <w:r>
        <w:fldChar w:fldCharType="end"/>
      </w:r>
      <w:r>
        <w:fldChar w:fldCharType="end"/>
      </w:r>
    </w:p>
    <w:p>
      <w:pPr>
        <w:pStyle w:val="12"/>
        <w:tabs>
          <w:tab w:val="right" w:leader="dot" w:pos="8959"/>
        </w:tabs>
      </w:pPr>
      <w:r>
        <w:fldChar w:fldCharType="begin"/>
      </w:r>
      <w:r>
        <w:instrText xml:space="preserve"> HYPERLINK \l "_Toc25046" </w:instrText>
      </w:r>
      <w:r>
        <w:fldChar w:fldCharType="separate"/>
      </w:r>
      <w:r>
        <w:rPr>
          <w:rFonts w:hint="eastAsia"/>
        </w:rPr>
        <w:t>七、服务方案及承诺</w:t>
      </w:r>
      <w:r>
        <w:tab/>
      </w:r>
      <w:r>
        <w:fldChar w:fldCharType="begin"/>
      </w:r>
      <w:r>
        <w:instrText xml:space="preserve"> PAGEREF _Toc25046 </w:instrText>
      </w:r>
      <w:r>
        <w:fldChar w:fldCharType="separate"/>
      </w:r>
      <w:r>
        <w:t>25</w:t>
      </w:r>
      <w:r>
        <w:fldChar w:fldCharType="end"/>
      </w:r>
      <w:r>
        <w:fldChar w:fldCharType="end"/>
      </w:r>
    </w:p>
    <w:p>
      <w:pPr>
        <w:pStyle w:val="11"/>
        <w:tabs>
          <w:tab w:val="right" w:leader="dot" w:pos="8959"/>
          <w:tab w:val="clear" w:pos="8949"/>
        </w:tabs>
      </w:pPr>
      <w:r>
        <w:fldChar w:fldCharType="begin"/>
      </w:r>
      <w:r>
        <w:instrText xml:space="preserve"> HYPERLINK \l "_Toc16830" </w:instrText>
      </w:r>
      <w:r>
        <w:fldChar w:fldCharType="separate"/>
      </w:r>
      <w:r>
        <w:rPr>
          <w:rFonts w:hint="eastAsia" w:ascii="黑体" w:hAnsi="黑体" w:eastAsia="黑体"/>
          <w:szCs w:val="32"/>
        </w:rPr>
        <w:t>第四章  比选申请人资质性及其他类似效力要求</w:t>
      </w:r>
      <w:r>
        <w:tab/>
      </w:r>
      <w:r>
        <w:fldChar w:fldCharType="begin"/>
      </w:r>
      <w:r>
        <w:instrText xml:space="preserve"> PAGEREF _Toc16830 </w:instrText>
      </w:r>
      <w:r>
        <w:fldChar w:fldCharType="separate"/>
      </w:r>
      <w:r>
        <w:t>26</w:t>
      </w:r>
      <w:r>
        <w:fldChar w:fldCharType="end"/>
      </w:r>
      <w:r>
        <w:fldChar w:fldCharType="end"/>
      </w:r>
    </w:p>
    <w:p>
      <w:pPr>
        <w:pStyle w:val="11"/>
        <w:tabs>
          <w:tab w:val="right" w:leader="dot" w:pos="8959"/>
          <w:tab w:val="clear" w:pos="8949"/>
        </w:tabs>
      </w:pPr>
      <w:r>
        <w:fldChar w:fldCharType="begin"/>
      </w:r>
      <w:r>
        <w:instrText xml:space="preserve"> HYPERLINK \l "_Toc27881" </w:instrText>
      </w:r>
      <w:r>
        <w:fldChar w:fldCharType="separate"/>
      </w:r>
      <w:r>
        <w:rPr>
          <w:rFonts w:hint="eastAsia" w:ascii="黑体" w:hAnsi="黑体" w:eastAsia="黑体"/>
          <w:szCs w:val="32"/>
        </w:rPr>
        <w:t>第五章  采购项目技术、服务、采购合同内容条款及其他商务要求</w:t>
      </w:r>
      <w:r>
        <w:tab/>
      </w:r>
      <w:r>
        <w:fldChar w:fldCharType="begin"/>
      </w:r>
      <w:r>
        <w:instrText xml:space="preserve"> PAGEREF _Toc27881 </w:instrText>
      </w:r>
      <w:r>
        <w:fldChar w:fldCharType="separate"/>
      </w:r>
      <w:r>
        <w:t>26</w:t>
      </w:r>
      <w:r>
        <w:fldChar w:fldCharType="end"/>
      </w:r>
      <w:r>
        <w:fldChar w:fldCharType="end"/>
      </w:r>
    </w:p>
    <w:p>
      <w:pPr>
        <w:pStyle w:val="11"/>
        <w:tabs>
          <w:tab w:val="right" w:leader="dot" w:pos="8959"/>
          <w:tab w:val="clear" w:pos="8949"/>
        </w:tabs>
      </w:pPr>
      <w:r>
        <w:fldChar w:fldCharType="begin"/>
      </w:r>
      <w:r>
        <w:instrText xml:space="preserve"> HYPERLINK \l "_Toc20850" </w:instrText>
      </w:r>
      <w:r>
        <w:fldChar w:fldCharType="separate"/>
      </w:r>
      <w:r>
        <w:rPr>
          <w:rFonts w:hint="eastAsia" w:ascii="黑体" w:hAnsi="黑体" w:eastAsia="黑体"/>
          <w:szCs w:val="32"/>
        </w:rPr>
        <w:t>第六章评审办法</w:t>
      </w:r>
      <w:r>
        <w:tab/>
      </w:r>
      <w:r>
        <w:fldChar w:fldCharType="begin"/>
      </w:r>
      <w:r>
        <w:instrText xml:space="preserve"> PAGEREF _Toc20850 </w:instrText>
      </w:r>
      <w:r>
        <w:fldChar w:fldCharType="separate"/>
      </w:r>
      <w:r>
        <w:t>30</w:t>
      </w:r>
      <w:r>
        <w:fldChar w:fldCharType="end"/>
      </w:r>
      <w:r>
        <w:fldChar w:fldCharType="end"/>
      </w:r>
    </w:p>
    <w:p>
      <w:pPr>
        <w:pStyle w:val="12"/>
        <w:tabs>
          <w:tab w:val="right" w:leader="dot" w:pos="8959"/>
        </w:tabs>
      </w:pPr>
      <w:r>
        <w:fldChar w:fldCharType="begin"/>
      </w:r>
      <w:r>
        <w:instrText xml:space="preserve"> HYPERLINK \l "_Toc23977" </w:instrText>
      </w:r>
      <w:r>
        <w:fldChar w:fldCharType="separate"/>
      </w:r>
      <w:r>
        <w:rPr>
          <w:rFonts w:hint="eastAsia" w:ascii="宋体" w:hAnsi="宋体"/>
        </w:rPr>
        <w:t>1. 总  则</w:t>
      </w:r>
      <w:r>
        <w:tab/>
      </w:r>
      <w:r>
        <w:fldChar w:fldCharType="begin"/>
      </w:r>
      <w:r>
        <w:instrText xml:space="preserve"> PAGEREF _Toc23977 </w:instrText>
      </w:r>
      <w:r>
        <w:fldChar w:fldCharType="separate"/>
      </w:r>
      <w:r>
        <w:t>30</w:t>
      </w:r>
      <w:r>
        <w:fldChar w:fldCharType="end"/>
      </w:r>
      <w:r>
        <w:fldChar w:fldCharType="end"/>
      </w:r>
    </w:p>
    <w:p>
      <w:pPr>
        <w:pStyle w:val="12"/>
        <w:tabs>
          <w:tab w:val="right" w:leader="dot" w:pos="8959"/>
        </w:tabs>
      </w:pPr>
      <w:r>
        <w:fldChar w:fldCharType="begin"/>
      </w:r>
      <w:r>
        <w:instrText xml:space="preserve"> HYPERLINK \l "_Toc1984" </w:instrText>
      </w:r>
      <w:r>
        <w:fldChar w:fldCharType="separate"/>
      </w:r>
      <w:r>
        <w:rPr>
          <w:rFonts w:hint="eastAsia" w:ascii="宋体" w:hAnsi="宋体"/>
        </w:rPr>
        <w:t>2. 评审方法</w:t>
      </w:r>
      <w:r>
        <w:tab/>
      </w:r>
      <w:r>
        <w:fldChar w:fldCharType="begin"/>
      </w:r>
      <w:r>
        <w:instrText xml:space="preserve"> PAGEREF _Toc1984 </w:instrText>
      </w:r>
      <w:r>
        <w:fldChar w:fldCharType="separate"/>
      </w:r>
      <w:r>
        <w:t>30</w:t>
      </w:r>
      <w:r>
        <w:fldChar w:fldCharType="end"/>
      </w:r>
      <w:r>
        <w:fldChar w:fldCharType="end"/>
      </w:r>
    </w:p>
    <w:p>
      <w:pPr>
        <w:pStyle w:val="12"/>
        <w:tabs>
          <w:tab w:val="right" w:leader="dot" w:pos="8959"/>
        </w:tabs>
      </w:pPr>
      <w:r>
        <w:fldChar w:fldCharType="begin"/>
      </w:r>
      <w:r>
        <w:instrText xml:space="preserve"> HYPERLINK \l "_Toc26806" </w:instrText>
      </w:r>
      <w:r>
        <w:fldChar w:fldCharType="separate"/>
      </w:r>
      <w:r>
        <w:rPr>
          <w:rFonts w:hint="eastAsia" w:ascii="宋体" w:hAnsi="宋体"/>
        </w:rPr>
        <w:t>3. 评审程序</w:t>
      </w:r>
      <w:r>
        <w:tab/>
      </w:r>
      <w:r>
        <w:fldChar w:fldCharType="begin"/>
      </w:r>
      <w:r>
        <w:instrText xml:space="preserve"> PAGEREF _Toc26806 </w:instrText>
      </w:r>
      <w:r>
        <w:fldChar w:fldCharType="separate"/>
      </w:r>
      <w:r>
        <w:t>30</w:t>
      </w:r>
      <w:r>
        <w:fldChar w:fldCharType="end"/>
      </w:r>
      <w:r>
        <w:fldChar w:fldCharType="end"/>
      </w:r>
    </w:p>
    <w:p>
      <w:pPr>
        <w:pStyle w:val="12"/>
        <w:tabs>
          <w:tab w:val="right" w:leader="dot" w:pos="8959"/>
        </w:tabs>
      </w:pPr>
      <w:r>
        <w:fldChar w:fldCharType="begin"/>
      </w:r>
      <w:r>
        <w:instrText xml:space="preserve"> HYPERLINK \l "_Toc1490" </w:instrText>
      </w:r>
      <w:r>
        <w:fldChar w:fldCharType="separate"/>
      </w:r>
      <w:r>
        <w:rPr>
          <w:rFonts w:hint="eastAsia" w:ascii="宋体" w:hAnsi="宋体"/>
        </w:rPr>
        <w:t>4. 评审细则及标准</w:t>
      </w:r>
      <w:r>
        <w:tab/>
      </w:r>
      <w:r>
        <w:fldChar w:fldCharType="begin"/>
      </w:r>
      <w:r>
        <w:instrText xml:space="preserve"> PAGEREF _Toc1490 </w:instrText>
      </w:r>
      <w:r>
        <w:fldChar w:fldCharType="separate"/>
      </w:r>
      <w:r>
        <w:t>31</w:t>
      </w:r>
      <w:r>
        <w:fldChar w:fldCharType="end"/>
      </w:r>
      <w:r>
        <w:fldChar w:fldCharType="end"/>
      </w:r>
    </w:p>
    <w:p>
      <w:pPr>
        <w:pStyle w:val="12"/>
        <w:tabs>
          <w:tab w:val="right" w:leader="dot" w:pos="8959"/>
        </w:tabs>
      </w:pPr>
      <w:r>
        <w:fldChar w:fldCharType="begin"/>
      </w:r>
      <w:r>
        <w:instrText xml:space="preserve"> HYPERLINK \l "_Toc5494" </w:instrText>
      </w:r>
      <w:r>
        <w:fldChar w:fldCharType="separate"/>
      </w:r>
      <w:r>
        <w:rPr>
          <w:rFonts w:hint="eastAsia" w:ascii="宋体" w:hAnsi="宋体"/>
        </w:rPr>
        <w:t>5. 详细评审表</w:t>
      </w:r>
      <w:r>
        <w:tab/>
      </w:r>
      <w:r>
        <w:fldChar w:fldCharType="begin"/>
      </w:r>
      <w:r>
        <w:instrText xml:space="preserve"> PAGEREF _Toc5494 </w:instrText>
      </w:r>
      <w:r>
        <w:fldChar w:fldCharType="separate"/>
      </w:r>
      <w:r>
        <w:t>32</w:t>
      </w:r>
      <w:r>
        <w:fldChar w:fldCharType="end"/>
      </w:r>
      <w:r>
        <w:fldChar w:fldCharType="end"/>
      </w:r>
    </w:p>
    <w:p>
      <w:pPr>
        <w:pStyle w:val="12"/>
        <w:tabs>
          <w:tab w:val="right" w:leader="dot" w:pos="8959"/>
        </w:tabs>
      </w:pPr>
      <w:r>
        <w:fldChar w:fldCharType="begin"/>
      </w:r>
      <w:r>
        <w:instrText xml:space="preserve"> HYPERLINK \l "_Toc31952" </w:instrText>
      </w:r>
      <w:r>
        <w:fldChar w:fldCharType="separate"/>
      </w:r>
      <w:r>
        <w:rPr>
          <w:rFonts w:hint="eastAsia" w:ascii="宋体" w:hAnsi="宋体"/>
        </w:rPr>
        <w:t>6. 废  标</w:t>
      </w:r>
      <w:r>
        <w:tab/>
      </w:r>
      <w:r>
        <w:fldChar w:fldCharType="begin"/>
      </w:r>
      <w:r>
        <w:instrText xml:space="preserve"> PAGEREF _Toc31952 </w:instrText>
      </w:r>
      <w:r>
        <w:fldChar w:fldCharType="separate"/>
      </w:r>
      <w:r>
        <w:t>32</w:t>
      </w:r>
      <w:r>
        <w:fldChar w:fldCharType="end"/>
      </w:r>
      <w:r>
        <w:fldChar w:fldCharType="end"/>
      </w:r>
    </w:p>
    <w:p>
      <w:pPr>
        <w:pStyle w:val="12"/>
        <w:tabs>
          <w:tab w:val="right" w:leader="dot" w:pos="8959"/>
        </w:tabs>
      </w:pPr>
      <w:r>
        <w:fldChar w:fldCharType="begin"/>
      </w:r>
      <w:r>
        <w:instrText xml:space="preserve"> HYPERLINK \l "_Toc25188" </w:instrText>
      </w:r>
      <w:r>
        <w:fldChar w:fldCharType="separate"/>
      </w:r>
      <w:r>
        <w:rPr>
          <w:rFonts w:hint="eastAsia" w:ascii="宋体" w:hAnsi="宋体"/>
        </w:rPr>
        <w:t>7</w:t>
      </w:r>
      <w:r>
        <w:rPr>
          <w:rFonts w:ascii="宋体" w:hAnsi="宋体"/>
        </w:rPr>
        <w:t>. 定标</w:t>
      </w:r>
      <w:r>
        <w:tab/>
      </w:r>
      <w:r>
        <w:fldChar w:fldCharType="begin"/>
      </w:r>
      <w:r>
        <w:instrText xml:space="preserve"> PAGEREF _Toc25188 </w:instrText>
      </w:r>
      <w:r>
        <w:fldChar w:fldCharType="separate"/>
      </w:r>
      <w:r>
        <w:t>33</w:t>
      </w:r>
      <w:r>
        <w:fldChar w:fldCharType="end"/>
      </w:r>
      <w:r>
        <w:fldChar w:fldCharType="end"/>
      </w:r>
    </w:p>
    <w:p>
      <w:pPr>
        <w:pStyle w:val="11"/>
        <w:tabs>
          <w:tab w:val="right" w:leader="dot" w:pos="8959"/>
          <w:tab w:val="clear" w:pos="8949"/>
        </w:tabs>
      </w:pPr>
      <w:r>
        <w:fldChar w:fldCharType="begin"/>
      </w:r>
      <w:r>
        <w:instrText xml:space="preserve"> HYPERLINK \l "_Toc883" </w:instrText>
      </w:r>
      <w:r>
        <w:fldChar w:fldCharType="separate"/>
      </w:r>
      <w:r>
        <w:rPr>
          <w:rFonts w:hint="eastAsia" w:ascii="黑体" w:hAnsi="黑体" w:eastAsia="黑体"/>
          <w:szCs w:val="32"/>
        </w:rPr>
        <w:t>第七章  合同主要条款</w:t>
      </w:r>
      <w:r>
        <w:tab/>
      </w:r>
      <w:r>
        <w:fldChar w:fldCharType="begin"/>
      </w:r>
      <w:r>
        <w:instrText xml:space="preserve"> PAGEREF _Toc883 </w:instrText>
      </w:r>
      <w:r>
        <w:fldChar w:fldCharType="separate"/>
      </w:r>
      <w:r>
        <w:t>34</w:t>
      </w:r>
      <w:r>
        <w:fldChar w:fldCharType="end"/>
      </w:r>
      <w:r>
        <w:fldChar w:fldCharType="end"/>
      </w:r>
    </w:p>
    <w:p>
      <w:pPr>
        <w:keepNext/>
        <w:keepLines/>
        <w:spacing w:line="360" w:lineRule="exact"/>
        <w:jc w:val="center"/>
        <w:rPr>
          <w:rFonts w:ascii="宋体" w:hAnsi="宋体" w:cs="宋体"/>
          <w:bCs/>
          <w:szCs w:val="21"/>
          <w:lang w:val="zh-CN"/>
        </w:rPr>
        <w:sectPr>
          <w:headerReference r:id="rId3" w:type="default"/>
          <w:footerReference r:id="rId4" w:type="default"/>
          <w:footerReference r:id="rId5" w:type="even"/>
          <w:pgSz w:w="11907" w:h="16840"/>
          <w:pgMar w:top="1440" w:right="1474" w:bottom="1440" w:left="1474" w:header="851" w:footer="992" w:gutter="0"/>
          <w:cols w:space="720" w:num="1"/>
          <w:docGrid w:linePitch="312" w:charSpace="0"/>
        </w:sectPr>
      </w:pPr>
      <w:r>
        <w:rPr>
          <w:rFonts w:hint="eastAsia" w:ascii="宋体" w:hAnsi="宋体" w:cs="宋体"/>
          <w:bCs/>
          <w:lang w:val="zh-CN"/>
        </w:rPr>
        <w:fldChar w:fldCharType="end"/>
      </w:r>
    </w:p>
    <w:p>
      <w:pPr>
        <w:pStyle w:val="3"/>
        <w:spacing w:line="240" w:lineRule="auto"/>
        <w:jc w:val="center"/>
        <w:rPr>
          <w:rFonts w:ascii="黑体" w:hAnsi="黑体" w:eastAsia="黑体"/>
          <w:sz w:val="32"/>
          <w:szCs w:val="32"/>
        </w:rPr>
      </w:pPr>
      <w:bookmarkStart w:id="23" w:name="_Toc4052"/>
      <w:bookmarkStart w:id="24" w:name="_Toc31655"/>
      <w:r>
        <w:rPr>
          <w:rFonts w:hint="eastAsia" w:ascii="黑体" w:hAnsi="黑体" w:eastAsia="黑体"/>
          <w:sz w:val="32"/>
          <w:szCs w:val="32"/>
        </w:rPr>
        <w:t>第一章  比选邀请</w:t>
      </w:r>
      <w:bookmarkEnd w:id="23"/>
      <w:bookmarkEnd w:id="24"/>
    </w:p>
    <w:p>
      <w:pPr>
        <w:spacing w:line="360" w:lineRule="auto"/>
        <w:ind w:firstLine="480" w:firstLineChars="200"/>
        <w:jc w:val="left"/>
        <w:rPr>
          <w:rFonts w:ascii="宋体" w:hAnsi="宋体"/>
          <w:sz w:val="24"/>
        </w:rPr>
      </w:pPr>
      <w:r>
        <w:rPr>
          <w:rFonts w:hint="eastAsia" w:ascii="宋体" w:hAnsi="宋体"/>
          <w:sz w:val="24"/>
          <w:u w:val="single"/>
        </w:rPr>
        <w:t>成都长源工程咨询有限公司</w:t>
      </w:r>
      <w:r>
        <w:rPr>
          <w:rFonts w:hint="eastAsia" w:ascii="宋体" w:hAnsi="宋体"/>
          <w:sz w:val="24"/>
        </w:rPr>
        <w:t>（比选代理机构）受</w:t>
      </w:r>
      <w:r>
        <w:rPr>
          <w:rFonts w:hint="eastAsia" w:ascii="宋体" w:hAnsi="宋体"/>
          <w:sz w:val="24"/>
          <w:u w:val="single"/>
        </w:rPr>
        <w:t>攀枝花三线文化有限公司</w:t>
      </w:r>
      <w:r>
        <w:rPr>
          <w:rFonts w:hint="eastAsia" w:ascii="宋体" w:hAnsi="宋体"/>
          <w:bCs/>
          <w:sz w:val="24"/>
        </w:rPr>
        <w:t>（采购人）</w:t>
      </w:r>
      <w:r>
        <w:rPr>
          <w:rFonts w:hint="eastAsia" w:ascii="宋体" w:hAnsi="宋体"/>
          <w:sz w:val="24"/>
        </w:rPr>
        <w:t>委托，拟对</w:t>
      </w:r>
      <w:r>
        <w:rPr>
          <w:rFonts w:hint="eastAsia" w:ascii="宋体" w:hAnsi="宋体"/>
          <w:sz w:val="24"/>
          <w:u w:val="single"/>
        </w:rPr>
        <w:t>攀枝花三线文化有限公司工程类项目法律顾问单位比选项目</w:t>
      </w:r>
      <w:r>
        <w:rPr>
          <w:rFonts w:hint="eastAsia" w:ascii="宋体" w:hAnsi="宋体"/>
          <w:sz w:val="24"/>
        </w:rPr>
        <w:t>进行比选，兹邀请符合本次比选要求的比选申请人参加比选。</w:t>
      </w:r>
    </w:p>
    <w:p>
      <w:pPr>
        <w:spacing w:line="360" w:lineRule="auto"/>
        <w:ind w:right="31" w:rightChars="15"/>
        <w:rPr>
          <w:rFonts w:ascii="宋体" w:hAnsi="宋体"/>
          <w:bCs/>
          <w:sz w:val="24"/>
        </w:rPr>
      </w:pPr>
      <w:r>
        <w:rPr>
          <w:rFonts w:hint="eastAsia" w:ascii="宋体" w:hAnsi="宋体"/>
          <w:b/>
          <w:bCs/>
          <w:sz w:val="24"/>
        </w:rPr>
        <w:t>一、</w:t>
      </w:r>
      <w:r>
        <w:rPr>
          <w:rFonts w:hint="eastAsia" w:ascii="宋体" w:hAnsi="宋体"/>
          <w:b/>
          <w:sz w:val="24"/>
        </w:rPr>
        <w:t>项目名称：</w:t>
      </w:r>
      <w:r>
        <w:rPr>
          <w:rFonts w:hint="eastAsia" w:ascii="宋体" w:hAnsi="宋体"/>
          <w:sz w:val="24"/>
        </w:rPr>
        <w:t>攀枝花三线文化有限公司工程类项目法律顾问单位比选项目。</w:t>
      </w:r>
    </w:p>
    <w:p>
      <w:pPr>
        <w:spacing w:line="360" w:lineRule="auto"/>
        <w:rPr>
          <w:bCs/>
        </w:rPr>
      </w:pPr>
      <w:r>
        <w:rPr>
          <w:rFonts w:hint="eastAsia" w:ascii="宋体" w:hAnsi="宋体"/>
          <w:b/>
          <w:bCs/>
          <w:sz w:val="24"/>
        </w:rPr>
        <w:t>二、</w:t>
      </w:r>
      <w:r>
        <w:rPr>
          <w:rFonts w:hint="eastAsia" w:ascii="宋体" w:hAnsi="宋体"/>
          <w:b/>
          <w:sz w:val="24"/>
        </w:rPr>
        <w:t>项目简介：</w:t>
      </w:r>
      <w:r>
        <w:rPr>
          <w:rFonts w:hint="eastAsia" w:ascii="宋体" w:hAnsi="宋体"/>
          <w:bCs/>
          <w:sz w:val="24"/>
        </w:rPr>
        <w:t>本项目1个包，比选人攀枝花三线文化有限公司拟采购攀枝花三线文化有限公司工程类项目法律顾问单位，顾问服务期三年。</w:t>
      </w:r>
    </w:p>
    <w:p>
      <w:pPr>
        <w:spacing w:afterLines="50" w:line="420" w:lineRule="exact"/>
        <w:rPr>
          <w:rFonts w:ascii="宋体" w:hAnsi="宋体"/>
          <w:sz w:val="24"/>
        </w:rPr>
      </w:pPr>
      <w:r>
        <w:rPr>
          <w:rFonts w:hint="eastAsia" w:ascii="宋体" w:hAnsi="宋体"/>
          <w:b/>
          <w:bCs/>
          <w:sz w:val="24"/>
        </w:rPr>
        <w:t>三、比选申请人参加本次比选活动应具备下列条件：</w:t>
      </w:r>
    </w:p>
    <w:p>
      <w:pPr>
        <w:spacing w:after="50" w:line="360" w:lineRule="auto"/>
        <w:ind w:firstLine="480" w:firstLineChars="200"/>
        <w:rPr>
          <w:rFonts w:ascii="宋体" w:hAnsi="宋体"/>
          <w:sz w:val="24"/>
        </w:rPr>
      </w:pPr>
      <w:r>
        <w:rPr>
          <w:rFonts w:hint="eastAsia" w:ascii="宋体" w:hAnsi="宋体"/>
          <w:sz w:val="24"/>
        </w:rPr>
        <w:t>1、具有独立承担民事责任的能力；</w:t>
      </w:r>
    </w:p>
    <w:p>
      <w:pPr>
        <w:spacing w:after="50" w:line="360" w:lineRule="auto"/>
        <w:ind w:firstLine="480" w:firstLineChars="200"/>
        <w:rPr>
          <w:rFonts w:ascii="宋体" w:hAnsi="宋体"/>
          <w:sz w:val="24"/>
        </w:rPr>
      </w:pPr>
      <w:r>
        <w:rPr>
          <w:rFonts w:hint="eastAsia" w:ascii="宋体" w:hAnsi="宋体"/>
          <w:sz w:val="24"/>
        </w:rPr>
        <w:t>2、具有良好的商业信誉和健全的财务会计制度；</w:t>
      </w:r>
    </w:p>
    <w:p>
      <w:pPr>
        <w:spacing w:after="50" w:line="360" w:lineRule="auto"/>
        <w:ind w:firstLine="480" w:firstLineChars="200"/>
        <w:rPr>
          <w:rFonts w:ascii="宋体" w:hAnsi="宋体"/>
          <w:sz w:val="24"/>
        </w:rPr>
      </w:pPr>
      <w:r>
        <w:rPr>
          <w:rFonts w:hint="eastAsia" w:ascii="宋体" w:hAnsi="宋体"/>
          <w:sz w:val="24"/>
        </w:rPr>
        <w:t>3、具有履行合同所必须的设备和专业服务能力；</w:t>
      </w:r>
    </w:p>
    <w:p>
      <w:pPr>
        <w:spacing w:after="50" w:line="360" w:lineRule="auto"/>
        <w:ind w:firstLine="480" w:firstLineChars="200"/>
        <w:rPr>
          <w:rFonts w:ascii="宋体" w:hAnsi="宋体"/>
          <w:sz w:val="24"/>
        </w:rPr>
      </w:pPr>
      <w:r>
        <w:rPr>
          <w:rFonts w:hint="eastAsia" w:ascii="宋体" w:hAnsi="宋体"/>
          <w:sz w:val="24"/>
        </w:rPr>
        <w:t>4、具有依法缴纳税收和社会保障资金的良好记录；</w:t>
      </w:r>
    </w:p>
    <w:p>
      <w:pPr>
        <w:spacing w:after="50" w:line="360" w:lineRule="auto"/>
        <w:ind w:firstLine="480" w:firstLineChars="200"/>
        <w:rPr>
          <w:rFonts w:ascii="宋体" w:hAnsi="宋体"/>
          <w:sz w:val="24"/>
        </w:rPr>
      </w:pPr>
      <w:r>
        <w:rPr>
          <w:rFonts w:hint="eastAsia" w:ascii="宋体" w:hAnsi="宋体"/>
          <w:sz w:val="24"/>
        </w:rPr>
        <w:t>5、参加本次采购活动前三年内，在经营活动中没有重大违法记录；</w:t>
      </w:r>
    </w:p>
    <w:p>
      <w:pPr>
        <w:spacing w:after="50" w:line="360" w:lineRule="auto"/>
        <w:ind w:firstLine="480" w:firstLineChars="200"/>
        <w:rPr>
          <w:rFonts w:ascii="宋体" w:hAnsi="宋体"/>
          <w:sz w:val="24"/>
        </w:rPr>
      </w:pPr>
      <w:r>
        <w:rPr>
          <w:rFonts w:hint="eastAsia" w:ascii="宋体" w:hAnsi="宋体"/>
          <w:sz w:val="24"/>
        </w:rPr>
        <w:t>6、法律、行政法规规定的其他条件；</w:t>
      </w:r>
    </w:p>
    <w:p>
      <w:pPr>
        <w:spacing w:after="50" w:line="360" w:lineRule="auto"/>
        <w:ind w:firstLine="480" w:firstLineChars="200"/>
        <w:rPr>
          <w:rFonts w:ascii="宋体" w:hAnsi="宋体"/>
          <w:sz w:val="24"/>
        </w:rPr>
      </w:pPr>
      <w:r>
        <w:rPr>
          <w:rFonts w:hint="eastAsia" w:ascii="宋体" w:hAnsi="宋体"/>
          <w:sz w:val="24"/>
        </w:rPr>
        <w:t>7、根据采购项目提出的特殊条件：</w:t>
      </w:r>
    </w:p>
    <w:p>
      <w:pPr>
        <w:spacing w:after="50" w:line="360" w:lineRule="auto"/>
        <w:ind w:firstLine="480" w:firstLineChars="200"/>
        <w:rPr>
          <w:rFonts w:ascii="宋体" w:hAnsi="宋体"/>
          <w:sz w:val="24"/>
        </w:rPr>
      </w:pPr>
      <w:r>
        <w:rPr>
          <w:rFonts w:hint="eastAsia" w:ascii="宋体" w:hAnsi="宋体"/>
          <w:sz w:val="24"/>
        </w:rPr>
        <w:t>（1）比选申请人须持有经年检合格的律师事务所执业许可证；</w:t>
      </w:r>
    </w:p>
    <w:p>
      <w:pPr>
        <w:spacing w:after="50" w:line="360" w:lineRule="auto"/>
        <w:ind w:firstLine="480" w:firstLineChars="200"/>
        <w:rPr>
          <w:rFonts w:ascii="宋体" w:hAnsi="宋体"/>
          <w:sz w:val="24"/>
        </w:rPr>
      </w:pPr>
      <w:r>
        <w:rPr>
          <w:rFonts w:hint="eastAsia" w:ascii="宋体" w:hAnsi="宋体"/>
          <w:sz w:val="24"/>
        </w:rPr>
        <w:t>（2）</w:t>
      </w:r>
      <w:r>
        <w:rPr>
          <w:rFonts w:hint="eastAsia"/>
          <w:sz w:val="24"/>
        </w:rPr>
        <w:t>本项目参加采购活动的比选申请人、法定代表人或主要负责人前三年内不得具有行贿犯罪记录</w:t>
      </w:r>
      <w:r>
        <w:rPr>
          <w:rFonts w:hint="eastAsia" w:ascii="宋体" w:hAnsi="宋体"/>
          <w:sz w:val="24"/>
        </w:rPr>
        <w:t>。</w:t>
      </w:r>
    </w:p>
    <w:p>
      <w:pPr>
        <w:spacing w:after="50" w:line="360" w:lineRule="auto"/>
        <w:ind w:firstLine="480" w:firstLineChars="200"/>
        <w:rPr>
          <w:rFonts w:ascii="宋体" w:hAnsi="宋体"/>
          <w:sz w:val="24"/>
        </w:rPr>
      </w:pPr>
      <w:r>
        <w:rPr>
          <w:rFonts w:hint="eastAsia" w:ascii="宋体" w:hAnsi="宋体"/>
          <w:sz w:val="24"/>
        </w:rPr>
        <w:t>8、本项目不接受联合体参与比选。</w:t>
      </w:r>
    </w:p>
    <w:p>
      <w:pPr>
        <w:spacing w:after="50" w:line="420" w:lineRule="exact"/>
        <w:rPr>
          <w:rFonts w:ascii="宋体" w:hAnsi="宋体"/>
          <w:b/>
          <w:sz w:val="24"/>
        </w:rPr>
      </w:pPr>
      <w:r>
        <w:rPr>
          <w:rFonts w:hint="eastAsia" w:ascii="宋体" w:hAnsi="宋体"/>
          <w:b/>
          <w:sz w:val="24"/>
        </w:rPr>
        <w:t>四、比选文件发售时间、地点：</w:t>
      </w:r>
    </w:p>
    <w:p>
      <w:pPr>
        <w:spacing w:after="50" w:line="420" w:lineRule="exact"/>
        <w:ind w:firstLine="480" w:firstLineChars="200"/>
        <w:jc w:val="left"/>
        <w:rPr>
          <w:rFonts w:ascii="宋体" w:hAnsi="宋体"/>
          <w:sz w:val="24"/>
        </w:rPr>
      </w:pPr>
      <w:r>
        <w:rPr>
          <w:rFonts w:hint="eastAsia" w:ascii="宋体" w:hAnsi="宋体"/>
          <w:sz w:val="24"/>
        </w:rPr>
        <w:t>比选文件自2020</w:t>
      </w:r>
      <w:r>
        <w:rPr>
          <w:rFonts w:hint="eastAsia" w:ascii="宋体" w:hAnsi="宋体"/>
          <w:sz w:val="24"/>
          <w:lang w:eastAsia="zh-CN"/>
        </w:rPr>
        <w:t>年</w:t>
      </w:r>
      <w:r>
        <w:rPr>
          <w:rFonts w:hint="eastAsia" w:ascii="宋体" w:hAnsi="宋体"/>
          <w:sz w:val="24"/>
        </w:rPr>
        <w:t>08月</w:t>
      </w:r>
      <w:r>
        <w:rPr>
          <w:rFonts w:hint="eastAsia" w:ascii="宋体" w:hAnsi="宋体"/>
          <w:sz w:val="24"/>
          <w:lang w:val="en-US" w:eastAsia="zh-CN"/>
        </w:rPr>
        <w:t>31</w:t>
      </w:r>
      <w:r>
        <w:rPr>
          <w:rFonts w:hint="eastAsia" w:ascii="宋体" w:hAnsi="宋体"/>
          <w:sz w:val="24"/>
        </w:rPr>
        <w:t>日至2020年 0</w:t>
      </w:r>
      <w:r>
        <w:rPr>
          <w:rFonts w:hint="eastAsia" w:ascii="宋体" w:hAnsi="宋体"/>
          <w:sz w:val="24"/>
          <w:lang w:val="en-US" w:eastAsia="zh-CN"/>
        </w:rPr>
        <w:t>9</w:t>
      </w:r>
      <w:r>
        <w:rPr>
          <w:rFonts w:hint="eastAsia" w:ascii="宋体" w:hAnsi="宋体"/>
          <w:sz w:val="24"/>
        </w:rPr>
        <w:t>月</w:t>
      </w:r>
      <w:r>
        <w:rPr>
          <w:rFonts w:hint="eastAsia" w:ascii="宋体" w:hAnsi="宋体"/>
          <w:sz w:val="24"/>
          <w:lang w:val="en-US" w:eastAsia="zh-CN"/>
        </w:rPr>
        <w:t>04</w:t>
      </w:r>
      <w:r>
        <w:rPr>
          <w:rFonts w:hint="eastAsia" w:ascii="宋体" w:hAnsi="宋体"/>
          <w:sz w:val="24"/>
        </w:rPr>
        <w:t>日上午09</w:t>
      </w:r>
      <w:r>
        <w:rPr>
          <w:rFonts w:ascii="宋体" w:hAnsi="宋体"/>
          <w:sz w:val="24"/>
        </w:rPr>
        <w:t>:</w:t>
      </w:r>
      <w:r>
        <w:rPr>
          <w:rFonts w:hint="eastAsia" w:ascii="宋体" w:hAnsi="宋体"/>
          <w:sz w:val="24"/>
        </w:rPr>
        <w:t>00-12：00，14:30- 17</w:t>
      </w:r>
      <w:r>
        <w:rPr>
          <w:rFonts w:ascii="宋体" w:hAnsi="宋体"/>
          <w:sz w:val="24"/>
        </w:rPr>
        <w:t>:</w:t>
      </w:r>
      <w:r>
        <w:rPr>
          <w:rFonts w:hint="eastAsia" w:ascii="宋体" w:hAnsi="宋体"/>
          <w:sz w:val="24"/>
        </w:rPr>
        <w:t>00</w:t>
      </w:r>
      <w:r>
        <w:rPr>
          <w:rFonts w:ascii="宋体" w:hAnsi="宋体"/>
          <w:sz w:val="24"/>
          <w:szCs w:val="28"/>
        </w:rPr>
        <w:t>（北京时间</w:t>
      </w:r>
      <w:r>
        <w:rPr>
          <w:rFonts w:hint="eastAsia" w:ascii="宋体" w:hAnsi="宋体"/>
          <w:sz w:val="24"/>
          <w:szCs w:val="28"/>
        </w:rPr>
        <w:t>，法定节假日除外</w:t>
      </w:r>
      <w:r>
        <w:rPr>
          <w:rFonts w:ascii="宋体" w:hAnsi="宋体"/>
          <w:sz w:val="24"/>
          <w:szCs w:val="28"/>
        </w:rPr>
        <w:t>）</w:t>
      </w:r>
      <w:r>
        <w:rPr>
          <w:rFonts w:hint="eastAsia" w:ascii="宋体" w:hAnsi="宋体"/>
          <w:sz w:val="24"/>
        </w:rPr>
        <w:t>在</w:t>
      </w:r>
      <w:r>
        <w:rPr>
          <w:rFonts w:hint="eastAsia" w:ascii="宋体" w:hAnsi="宋体"/>
          <w:b/>
          <w:bCs/>
          <w:sz w:val="24"/>
          <w:szCs w:val="28"/>
          <w:u w:val="single"/>
        </w:rPr>
        <w:t>攀枝花市东区鸿海巷</w:t>
      </w:r>
      <w:r>
        <w:rPr>
          <w:rFonts w:ascii="宋体" w:hAnsi="宋体"/>
          <w:b/>
          <w:bCs/>
          <w:sz w:val="24"/>
          <w:szCs w:val="28"/>
          <w:u w:val="single"/>
        </w:rPr>
        <w:t>13</w:t>
      </w:r>
      <w:r>
        <w:rPr>
          <w:rFonts w:hint="eastAsia" w:ascii="宋体" w:hAnsi="宋体"/>
          <w:b/>
          <w:bCs/>
          <w:sz w:val="24"/>
          <w:szCs w:val="28"/>
          <w:u w:val="single"/>
        </w:rPr>
        <w:t>号</w:t>
      </w:r>
      <w:r>
        <w:rPr>
          <w:rFonts w:ascii="宋体" w:hAnsi="宋体"/>
          <w:b/>
          <w:bCs/>
          <w:sz w:val="24"/>
          <w:szCs w:val="28"/>
          <w:u w:val="single"/>
        </w:rPr>
        <w:t>1</w:t>
      </w:r>
      <w:r>
        <w:rPr>
          <w:rFonts w:hint="eastAsia" w:ascii="宋体" w:hAnsi="宋体"/>
          <w:b/>
          <w:bCs/>
          <w:sz w:val="24"/>
          <w:szCs w:val="28"/>
          <w:u w:val="single"/>
        </w:rPr>
        <w:t>栋</w:t>
      </w:r>
      <w:r>
        <w:rPr>
          <w:rFonts w:ascii="宋体" w:hAnsi="宋体"/>
          <w:b/>
          <w:bCs/>
          <w:sz w:val="24"/>
          <w:szCs w:val="28"/>
          <w:u w:val="single"/>
        </w:rPr>
        <w:t>1</w:t>
      </w:r>
      <w:r>
        <w:rPr>
          <w:rFonts w:hint="eastAsia" w:ascii="宋体" w:hAnsi="宋体"/>
          <w:b/>
          <w:bCs/>
          <w:sz w:val="24"/>
          <w:szCs w:val="28"/>
          <w:u w:val="single"/>
        </w:rPr>
        <w:t>楼（富麒家园内）</w:t>
      </w:r>
      <w:r>
        <w:rPr>
          <w:rFonts w:hint="eastAsia" w:ascii="宋体" w:hAnsi="宋体"/>
          <w:sz w:val="24"/>
        </w:rPr>
        <w:t>购买。</w:t>
      </w:r>
      <w:r>
        <w:rPr>
          <w:rFonts w:hint="eastAsia" w:ascii="宋体" w:hAnsi="宋体"/>
          <w:sz w:val="24"/>
          <w:szCs w:val="18"/>
        </w:rPr>
        <w:t>比选</w:t>
      </w:r>
      <w:r>
        <w:rPr>
          <w:rFonts w:ascii="宋体" w:hAnsi="宋体"/>
          <w:sz w:val="24"/>
          <w:szCs w:val="18"/>
        </w:rPr>
        <w:t>文件</w:t>
      </w:r>
      <w:r>
        <w:rPr>
          <w:rFonts w:hint="eastAsia" w:ascii="宋体" w:hAnsi="宋体"/>
          <w:sz w:val="24"/>
        </w:rPr>
        <w:t>售价：</w:t>
      </w:r>
      <w:r>
        <w:rPr>
          <w:rFonts w:hint="eastAsia" w:ascii="宋体" w:hAnsi="宋体"/>
          <w:sz w:val="24"/>
          <w:szCs w:val="18"/>
        </w:rPr>
        <w:t>免费领取。</w:t>
      </w:r>
    </w:p>
    <w:p>
      <w:pPr>
        <w:spacing w:after="50" w:line="420" w:lineRule="exact"/>
        <w:rPr>
          <w:rFonts w:ascii="宋体" w:hAnsi="宋体"/>
          <w:b/>
          <w:sz w:val="24"/>
        </w:rPr>
      </w:pPr>
      <w:r>
        <w:rPr>
          <w:rFonts w:hint="eastAsia" w:ascii="宋体" w:hAnsi="宋体"/>
          <w:b/>
          <w:bCs/>
          <w:sz w:val="24"/>
        </w:rPr>
        <w:t>比选申请</w:t>
      </w:r>
      <w:r>
        <w:rPr>
          <w:rFonts w:hint="eastAsia" w:ascii="宋体" w:hAnsi="宋体"/>
          <w:b/>
          <w:bCs/>
          <w:color w:val="000000"/>
          <w:sz w:val="24"/>
        </w:rPr>
        <w:t>人</w:t>
      </w:r>
      <w:r>
        <w:rPr>
          <w:rFonts w:hint="eastAsia" w:ascii="宋体" w:hAnsi="宋体"/>
          <w:b/>
          <w:color w:val="000000"/>
          <w:sz w:val="24"/>
        </w:rPr>
        <w:t>领取比</w:t>
      </w:r>
      <w:r>
        <w:rPr>
          <w:rFonts w:hint="eastAsia" w:ascii="宋体" w:hAnsi="宋体"/>
          <w:b/>
          <w:sz w:val="24"/>
        </w:rPr>
        <w:t>选文件时须携带：</w:t>
      </w:r>
    </w:p>
    <w:p>
      <w:pPr>
        <w:spacing w:afterLines="50" w:line="360" w:lineRule="auto"/>
        <w:ind w:firstLine="480" w:firstLineChars="200"/>
        <w:rPr>
          <w:rFonts w:ascii="宋体" w:hAnsi="宋体"/>
          <w:sz w:val="24"/>
        </w:rPr>
      </w:pPr>
      <w:r>
        <w:rPr>
          <w:rFonts w:hint="eastAsia" w:ascii="宋体" w:hAnsi="宋体"/>
          <w:sz w:val="24"/>
        </w:rPr>
        <w:t>现场报名，单位介绍信或授权书原件（须注明被介绍人或被授权人的姓名、联系方式、具体项目名称，办理事项内容或授权范围等内容并加盖单位鲜章，同时提供被介绍人或被授权人的身份证复印件加盖单位鲜章，原件备查。）</w:t>
      </w:r>
    </w:p>
    <w:p>
      <w:pPr>
        <w:spacing w:afterLines="50" w:line="420" w:lineRule="exact"/>
        <w:rPr>
          <w:rFonts w:ascii="宋体" w:hAnsi="宋体"/>
          <w:sz w:val="24"/>
          <w:szCs w:val="28"/>
        </w:rPr>
      </w:pPr>
      <w:r>
        <w:rPr>
          <w:rFonts w:hint="eastAsia" w:ascii="宋体" w:hAnsi="宋体"/>
          <w:b/>
          <w:sz w:val="24"/>
          <w:szCs w:val="28"/>
        </w:rPr>
        <w:t>六、</w:t>
      </w:r>
      <w:r>
        <w:rPr>
          <w:rFonts w:hint="eastAsia" w:ascii="宋体" w:hAnsi="宋体"/>
          <w:b/>
          <w:sz w:val="24"/>
        </w:rPr>
        <w:t>比选申请文件</w:t>
      </w:r>
      <w:r>
        <w:rPr>
          <w:rFonts w:ascii="宋体" w:hAnsi="宋体"/>
          <w:b/>
          <w:sz w:val="24"/>
        </w:rPr>
        <w:t>递交</w:t>
      </w:r>
      <w:r>
        <w:rPr>
          <w:rFonts w:hint="eastAsia" w:ascii="宋体" w:hAnsi="宋体"/>
          <w:b/>
          <w:sz w:val="24"/>
        </w:rPr>
        <w:t>截止时间：</w:t>
      </w:r>
      <w:r>
        <w:rPr>
          <w:rFonts w:hint="eastAsia" w:ascii="宋体" w:hAnsi="宋体"/>
          <w:sz w:val="24"/>
        </w:rPr>
        <w:t>2020</w:t>
      </w:r>
      <w:r>
        <w:rPr>
          <w:rFonts w:hint="eastAsia" w:ascii="宋体" w:hAnsi="宋体"/>
          <w:bCs/>
          <w:sz w:val="24"/>
        </w:rPr>
        <w:t>年</w:t>
      </w:r>
      <w:r>
        <w:rPr>
          <w:rFonts w:hint="eastAsia" w:ascii="宋体" w:hAnsi="宋体"/>
          <w:bCs/>
          <w:sz w:val="24"/>
          <w:lang w:val="en-US" w:eastAsia="zh-CN"/>
        </w:rPr>
        <w:t>09</w:t>
      </w:r>
      <w:r>
        <w:rPr>
          <w:rFonts w:hint="eastAsia" w:ascii="宋体" w:hAnsi="宋体"/>
          <w:bCs/>
          <w:sz w:val="24"/>
        </w:rPr>
        <w:t>月</w:t>
      </w:r>
      <w:r>
        <w:rPr>
          <w:rFonts w:hint="eastAsia" w:ascii="宋体" w:hAnsi="宋体"/>
          <w:bCs/>
          <w:sz w:val="24"/>
          <w:lang w:val="en-US" w:eastAsia="zh-CN"/>
        </w:rPr>
        <w:t>11</w:t>
      </w:r>
      <w:r>
        <w:rPr>
          <w:rFonts w:hint="eastAsia" w:ascii="宋体" w:hAnsi="宋体"/>
          <w:bCs/>
          <w:sz w:val="24"/>
        </w:rPr>
        <w:t>日上午09时00分</w:t>
      </w:r>
      <w:r>
        <w:rPr>
          <w:rFonts w:ascii="宋体" w:hAnsi="宋体"/>
          <w:sz w:val="24"/>
          <w:szCs w:val="28"/>
        </w:rPr>
        <w:t>（北京时间）</w:t>
      </w:r>
      <w:r>
        <w:rPr>
          <w:rFonts w:hint="eastAsia" w:ascii="宋体" w:hAnsi="宋体"/>
          <w:sz w:val="24"/>
          <w:szCs w:val="28"/>
        </w:rPr>
        <w:t>。</w:t>
      </w:r>
    </w:p>
    <w:p>
      <w:pPr>
        <w:pStyle w:val="7"/>
        <w:spacing w:afterLines="50" w:line="420" w:lineRule="exact"/>
        <w:ind w:firstLine="480"/>
        <w:rPr>
          <w:sz w:val="24"/>
          <w:szCs w:val="28"/>
        </w:rPr>
      </w:pPr>
      <w:r>
        <w:rPr>
          <w:rFonts w:hint="eastAsia"/>
          <w:sz w:val="24"/>
          <w:szCs w:val="28"/>
        </w:rPr>
        <w:t>比选文件必须在比选截止时间前送达比选申请</w:t>
      </w:r>
      <w:r>
        <w:rPr>
          <w:sz w:val="24"/>
          <w:szCs w:val="28"/>
        </w:rPr>
        <w:t>文件</w:t>
      </w:r>
      <w:r>
        <w:rPr>
          <w:rFonts w:hint="eastAsia"/>
          <w:sz w:val="24"/>
          <w:szCs w:val="28"/>
        </w:rPr>
        <w:t>递交地点。逾期送达的比选</w:t>
      </w:r>
      <w:r>
        <w:rPr>
          <w:sz w:val="24"/>
          <w:szCs w:val="28"/>
        </w:rPr>
        <w:t>申请</w:t>
      </w:r>
      <w:r>
        <w:rPr>
          <w:rFonts w:hint="eastAsia"/>
          <w:sz w:val="24"/>
          <w:szCs w:val="28"/>
        </w:rPr>
        <w:t>文件恕不接收。本次比选不接受邮寄的比选申请文件。</w:t>
      </w:r>
    </w:p>
    <w:p>
      <w:pPr>
        <w:spacing w:after="50" w:line="420" w:lineRule="exact"/>
        <w:rPr>
          <w:rFonts w:ascii="宋体" w:hAnsi="宋体"/>
          <w:sz w:val="24"/>
          <w:szCs w:val="28"/>
        </w:rPr>
      </w:pPr>
      <w:r>
        <w:rPr>
          <w:rFonts w:hint="eastAsia" w:ascii="宋体" w:hAnsi="宋体"/>
          <w:b/>
          <w:sz w:val="24"/>
          <w:szCs w:val="28"/>
        </w:rPr>
        <w:t>七、</w:t>
      </w:r>
      <w:r>
        <w:rPr>
          <w:rFonts w:hint="eastAsia" w:ascii="宋体" w:hAnsi="宋体"/>
          <w:b/>
          <w:sz w:val="24"/>
        </w:rPr>
        <w:t>比选申请文件</w:t>
      </w:r>
      <w:r>
        <w:rPr>
          <w:rFonts w:ascii="宋体" w:hAnsi="宋体"/>
          <w:b/>
          <w:sz w:val="24"/>
        </w:rPr>
        <w:t>递交</w:t>
      </w:r>
      <w:r>
        <w:rPr>
          <w:rFonts w:ascii="宋体" w:hAnsi="宋体"/>
          <w:b/>
          <w:sz w:val="24"/>
          <w:szCs w:val="28"/>
        </w:rPr>
        <w:t>地点：</w:t>
      </w:r>
      <w:r>
        <w:rPr>
          <w:rFonts w:hint="eastAsia" w:ascii="宋体" w:hAnsi="宋体"/>
          <w:b/>
          <w:bCs/>
          <w:sz w:val="24"/>
          <w:szCs w:val="28"/>
          <w:u w:val="single"/>
        </w:rPr>
        <w:t>攀枝花市东区鸿海巷</w:t>
      </w:r>
      <w:r>
        <w:rPr>
          <w:rFonts w:ascii="宋体" w:hAnsi="宋体"/>
          <w:b/>
          <w:bCs/>
          <w:sz w:val="24"/>
          <w:szCs w:val="28"/>
          <w:u w:val="single"/>
        </w:rPr>
        <w:t>13</w:t>
      </w:r>
      <w:r>
        <w:rPr>
          <w:rFonts w:hint="eastAsia" w:ascii="宋体" w:hAnsi="宋体"/>
          <w:b/>
          <w:bCs/>
          <w:sz w:val="24"/>
          <w:szCs w:val="28"/>
          <w:u w:val="single"/>
        </w:rPr>
        <w:t>号</w:t>
      </w:r>
      <w:r>
        <w:rPr>
          <w:rFonts w:ascii="宋体" w:hAnsi="宋体"/>
          <w:b/>
          <w:bCs/>
          <w:sz w:val="24"/>
          <w:szCs w:val="28"/>
          <w:u w:val="single"/>
        </w:rPr>
        <w:t>1</w:t>
      </w:r>
      <w:r>
        <w:rPr>
          <w:rFonts w:hint="eastAsia" w:ascii="宋体" w:hAnsi="宋体"/>
          <w:b/>
          <w:bCs/>
          <w:sz w:val="24"/>
          <w:szCs w:val="28"/>
          <w:u w:val="single"/>
        </w:rPr>
        <w:t>栋</w:t>
      </w:r>
      <w:r>
        <w:rPr>
          <w:rFonts w:ascii="宋体" w:hAnsi="宋体"/>
          <w:b/>
          <w:bCs/>
          <w:sz w:val="24"/>
          <w:szCs w:val="28"/>
          <w:u w:val="single"/>
        </w:rPr>
        <w:t>1</w:t>
      </w:r>
      <w:r>
        <w:rPr>
          <w:rFonts w:hint="eastAsia" w:ascii="宋体" w:hAnsi="宋体"/>
          <w:b/>
          <w:bCs/>
          <w:sz w:val="24"/>
          <w:szCs w:val="28"/>
          <w:u w:val="single"/>
        </w:rPr>
        <w:t>楼（富麒家园内）</w:t>
      </w:r>
      <w:r>
        <w:rPr>
          <w:rFonts w:hint="eastAsia" w:ascii="宋体" w:hAnsi="宋体"/>
          <w:sz w:val="24"/>
          <w:szCs w:val="28"/>
        </w:rPr>
        <w:t>。</w:t>
      </w:r>
    </w:p>
    <w:p>
      <w:pPr>
        <w:pStyle w:val="17"/>
        <w:spacing w:line="420" w:lineRule="exact"/>
        <w:ind w:firstLine="0" w:firstLineChars="0"/>
        <w:rPr>
          <w:b/>
          <w:sz w:val="24"/>
        </w:rPr>
      </w:pPr>
      <w:r>
        <w:rPr>
          <w:rFonts w:hint="eastAsia"/>
          <w:b/>
          <w:sz w:val="24"/>
        </w:rPr>
        <w:t>八、本比选邀请在攀枝花市国有投资（集团）有限责任公司网站上以公告形式发布。</w:t>
      </w:r>
    </w:p>
    <w:p>
      <w:pPr>
        <w:pStyle w:val="17"/>
        <w:spacing w:line="420" w:lineRule="exact"/>
        <w:ind w:firstLine="0" w:firstLineChars="0"/>
        <w:rPr>
          <w:b/>
          <w:sz w:val="24"/>
        </w:rPr>
      </w:pPr>
      <w:r>
        <w:rPr>
          <w:rFonts w:hint="eastAsia"/>
          <w:b/>
          <w:sz w:val="24"/>
        </w:rPr>
        <w:t>九、联 系 方 式:</w:t>
      </w:r>
    </w:p>
    <w:p>
      <w:pPr>
        <w:spacing w:line="360" w:lineRule="auto"/>
        <w:ind w:right="420" w:rightChars="200"/>
        <w:rPr>
          <w:rFonts w:hAnsi="宋体" w:cs="宋体"/>
          <w:b/>
          <w:bCs/>
          <w:sz w:val="24"/>
        </w:rPr>
      </w:pPr>
      <w:r>
        <w:rPr>
          <w:rFonts w:hint="eastAsia" w:hAnsi="宋体" w:cs="宋体"/>
          <w:b/>
          <w:bCs/>
          <w:sz w:val="24"/>
        </w:rPr>
        <w:t>采 购人：攀枝花三线文化有限公司；</w:t>
      </w:r>
    </w:p>
    <w:p>
      <w:pPr>
        <w:spacing w:line="360" w:lineRule="auto"/>
        <w:ind w:right="420" w:rightChars="200"/>
        <w:rPr>
          <w:rFonts w:hAnsi="宋体" w:cs="宋体"/>
          <w:sz w:val="24"/>
        </w:rPr>
      </w:pPr>
      <w:r>
        <w:rPr>
          <w:rFonts w:hint="eastAsia" w:hAnsi="宋体" w:cs="宋体"/>
          <w:sz w:val="24"/>
        </w:rPr>
        <w:t>地    址：四川省攀枝花市仁和区红桐树街8号；</w:t>
      </w:r>
    </w:p>
    <w:p>
      <w:pPr>
        <w:spacing w:line="360" w:lineRule="auto"/>
        <w:ind w:right="420" w:rightChars="200"/>
        <w:rPr>
          <w:rFonts w:hAnsi="宋体" w:cs="宋体"/>
          <w:sz w:val="24"/>
        </w:rPr>
      </w:pPr>
      <w:r>
        <w:rPr>
          <w:rFonts w:hint="eastAsia" w:hAnsi="宋体" w:cs="宋体"/>
          <w:sz w:val="24"/>
        </w:rPr>
        <w:t>联 系 人：张先生；</w:t>
      </w:r>
    </w:p>
    <w:p>
      <w:pPr>
        <w:spacing w:line="360" w:lineRule="auto"/>
        <w:ind w:right="420" w:rightChars="200"/>
        <w:rPr>
          <w:rFonts w:hAnsi="宋体" w:cs="宋体"/>
          <w:sz w:val="24"/>
        </w:rPr>
      </w:pPr>
      <w:r>
        <w:rPr>
          <w:rFonts w:hint="eastAsia" w:hAnsi="宋体" w:cs="宋体"/>
          <w:sz w:val="24"/>
        </w:rPr>
        <w:t>电    话：18011000818。</w:t>
      </w:r>
    </w:p>
    <w:p>
      <w:pPr>
        <w:spacing w:line="360" w:lineRule="auto"/>
        <w:ind w:right="420" w:rightChars="200"/>
        <w:rPr>
          <w:rFonts w:hAnsi="宋体" w:cs="宋体"/>
          <w:b/>
          <w:bCs/>
          <w:sz w:val="24"/>
        </w:rPr>
      </w:pPr>
      <w:r>
        <w:rPr>
          <w:rFonts w:hint="eastAsia" w:hAnsi="宋体" w:cs="宋体"/>
          <w:b/>
          <w:bCs/>
          <w:sz w:val="24"/>
        </w:rPr>
        <w:t>采购代理机构：成都长源工程咨询有限公司；</w:t>
      </w:r>
    </w:p>
    <w:p>
      <w:pPr>
        <w:spacing w:line="360" w:lineRule="auto"/>
        <w:ind w:right="420" w:rightChars="200"/>
        <w:rPr>
          <w:rFonts w:hAnsi="宋体" w:cs="宋体"/>
          <w:sz w:val="24"/>
        </w:rPr>
      </w:pPr>
      <w:r>
        <w:rPr>
          <w:rFonts w:hint="eastAsia" w:hAnsi="宋体" w:cs="宋体"/>
          <w:sz w:val="24"/>
        </w:rPr>
        <w:t xml:space="preserve">地    址：成都市武侯区环球中心E5区1502-1508号；                                                         </w:t>
      </w:r>
    </w:p>
    <w:p>
      <w:pPr>
        <w:spacing w:line="360" w:lineRule="auto"/>
        <w:ind w:right="420" w:rightChars="200"/>
        <w:rPr>
          <w:rFonts w:hAnsi="宋体" w:cs="宋体"/>
          <w:color w:val="000000"/>
          <w:sz w:val="24"/>
        </w:rPr>
      </w:pPr>
      <w:r>
        <w:rPr>
          <w:rFonts w:hint="eastAsia" w:hAnsi="宋体" w:cs="宋体"/>
          <w:color w:val="000000"/>
          <w:sz w:val="24"/>
        </w:rPr>
        <w:t>项目联系人：张女士；</w:t>
      </w:r>
    </w:p>
    <w:p>
      <w:pPr>
        <w:spacing w:line="360" w:lineRule="auto"/>
        <w:rPr>
          <w:rFonts w:hAnsi="宋体" w:cs="宋体"/>
          <w:color w:val="000000"/>
          <w:sz w:val="24"/>
        </w:rPr>
      </w:pPr>
      <w:r>
        <w:rPr>
          <w:rFonts w:hAnsi="宋体" w:cs="宋体"/>
          <w:color w:val="000000"/>
          <w:sz w:val="24"/>
        </w:rPr>
        <w:t>地址</w:t>
      </w:r>
      <w:r>
        <w:rPr>
          <w:rFonts w:hint="eastAsia" w:hAnsi="宋体" w:cs="宋体"/>
          <w:color w:val="000000"/>
          <w:sz w:val="24"/>
        </w:rPr>
        <w:t>：</w:t>
      </w:r>
      <w:r>
        <w:rPr>
          <w:rFonts w:hint="eastAsia" w:ascii="宋体" w:hAnsi="宋体"/>
          <w:b/>
          <w:bCs/>
          <w:color w:val="000000"/>
          <w:sz w:val="24"/>
          <w:szCs w:val="28"/>
          <w:u w:val="single"/>
        </w:rPr>
        <w:t>攀枝花市东区鸿海巷</w:t>
      </w:r>
      <w:r>
        <w:rPr>
          <w:rFonts w:ascii="宋体" w:hAnsi="宋体"/>
          <w:b/>
          <w:bCs/>
          <w:color w:val="000000"/>
          <w:sz w:val="24"/>
          <w:szCs w:val="28"/>
          <w:u w:val="single"/>
        </w:rPr>
        <w:t>13</w:t>
      </w:r>
      <w:r>
        <w:rPr>
          <w:rFonts w:hint="eastAsia" w:ascii="宋体" w:hAnsi="宋体"/>
          <w:b/>
          <w:bCs/>
          <w:color w:val="000000"/>
          <w:sz w:val="24"/>
          <w:szCs w:val="28"/>
          <w:u w:val="single"/>
        </w:rPr>
        <w:t>号</w:t>
      </w:r>
      <w:r>
        <w:rPr>
          <w:rFonts w:ascii="宋体" w:hAnsi="宋体"/>
          <w:b/>
          <w:bCs/>
          <w:color w:val="000000"/>
          <w:sz w:val="24"/>
          <w:szCs w:val="28"/>
          <w:u w:val="single"/>
        </w:rPr>
        <w:t>1</w:t>
      </w:r>
      <w:r>
        <w:rPr>
          <w:rFonts w:hint="eastAsia" w:ascii="宋体" w:hAnsi="宋体"/>
          <w:b/>
          <w:bCs/>
          <w:color w:val="000000"/>
          <w:sz w:val="24"/>
          <w:szCs w:val="28"/>
          <w:u w:val="single"/>
        </w:rPr>
        <w:t>栋</w:t>
      </w:r>
      <w:r>
        <w:rPr>
          <w:rFonts w:ascii="宋体" w:hAnsi="宋体"/>
          <w:b/>
          <w:bCs/>
          <w:color w:val="000000"/>
          <w:sz w:val="24"/>
          <w:szCs w:val="28"/>
          <w:u w:val="single"/>
        </w:rPr>
        <w:t>1</w:t>
      </w:r>
      <w:r>
        <w:rPr>
          <w:rFonts w:hint="eastAsia" w:ascii="宋体" w:hAnsi="宋体"/>
          <w:b/>
          <w:bCs/>
          <w:color w:val="000000"/>
          <w:sz w:val="24"/>
          <w:szCs w:val="28"/>
          <w:u w:val="single"/>
        </w:rPr>
        <w:t>楼（富麒家园内）</w:t>
      </w:r>
    </w:p>
    <w:p>
      <w:pPr>
        <w:spacing w:line="360" w:lineRule="auto"/>
        <w:rPr>
          <w:rFonts w:ascii="宋体" w:hAnsi="宋体" w:cs="宋体"/>
          <w:color w:val="000000"/>
          <w:kern w:val="0"/>
          <w:sz w:val="24"/>
        </w:rPr>
      </w:pPr>
      <w:r>
        <w:rPr>
          <w:rFonts w:hint="eastAsia" w:hAnsi="宋体" w:cs="宋体"/>
          <w:color w:val="000000"/>
          <w:sz w:val="24"/>
        </w:rPr>
        <w:t>电    话：0812-3300108。</w:t>
      </w:r>
    </w:p>
    <w:p>
      <w:pPr>
        <w:pStyle w:val="17"/>
        <w:spacing w:line="420" w:lineRule="exact"/>
        <w:ind w:firstLine="439" w:firstLineChars="183"/>
        <w:rPr>
          <w:rFonts w:ascii="宋体" w:hAnsi="宋体"/>
          <w:sz w:val="24"/>
        </w:rPr>
      </w:pPr>
    </w:p>
    <w:p>
      <w:pPr>
        <w:pStyle w:val="17"/>
        <w:spacing w:line="420" w:lineRule="exact"/>
        <w:ind w:firstLine="439" w:firstLineChars="183"/>
        <w:rPr>
          <w:rFonts w:ascii="宋体" w:hAnsi="宋体"/>
          <w:sz w:val="24"/>
        </w:rPr>
      </w:pPr>
    </w:p>
    <w:p>
      <w:pPr>
        <w:spacing w:line="360" w:lineRule="auto"/>
        <w:jc w:val="right"/>
        <w:rPr>
          <w:rFonts w:ascii="宋体" w:hAnsi="宋体" w:cs="宋体"/>
          <w:kern w:val="0"/>
          <w:sz w:val="24"/>
        </w:rPr>
      </w:pPr>
      <w:bookmarkStart w:id="25" w:name="_Toc217446031"/>
      <w:bookmarkStart w:id="26" w:name="_Toc213397009"/>
      <w:bookmarkStart w:id="27" w:name="_Toc213396759"/>
      <w:bookmarkStart w:id="28" w:name="_Toc213496267"/>
      <w:bookmarkStart w:id="29" w:name="_Toc213396945"/>
      <w:r>
        <w:rPr>
          <w:rFonts w:hint="eastAsia" w:ascii="宋体" w:hAnsi="宋体" w:cs="宋体"/>
          <w:kern w:val="0"/>
          <w:sz w:val="24"/>
        </w:rPr>
        <w:t>二〇二〇年八月</w:t>
      </w:r>
    </w:p>
    <w:p>
      <w:pPr>
        <w:pStyle w:val="3"/>
        <w:spacing w:line="240" w:lineRule="atLeast"/>
        <w:jc w:val="center"/>
        <w:rPr>
          <w:sz w:val="32"/>
          <w:szCs w:val="32"/>
        </w:rPr>
      </w:pPr>
      <w:r>
        <w:rPr>
          <w:sz w:val="36"/>
          <w:szCs w:val="36"/>
        </w:rPr>
        <w:br w:type="page"/>
      </w:r>
      <w:bookmarkStart w:id="30" w:name="_Toc28351"/>
      <w:bookmarkStart w:id="31" w:name="_Toc23734"/>
      <w:r>
        <w:rPr>
          <w:rFonts w:hint="eastAsia" w:ascii="黑体" w:hAnsi="黑体" w:eastAsia="黑体"/>
          <w:sz w:val="32"/>
          <w:szCs w:val="32"/>
        </w:rPr>
        <w:t>第二章  比选申请人须知</w:t>
      </w:r>
      <w:bookmarkEnd w:id="25"/>
      <w:bookmarkEnd w:id="26"/>
      <w:bookmarkEnd w:id="27"/>
      <w:bookmarkEnd w:id="28"/>
      <w:bookmarkEnd w:id="29"/>
      <w:bookmarkEnd w:id="30"/>
      <w:bookmarkEnd w:id="31"/>
    </w:p>
    <w:p>
      <w:pPr>
        <w:pStyle w:val="4"/>
        <w:spacing w:line="240" w:lineRule="atLeast"/>
        <w:jc w:val="center"/>
        <w:rPr>
          <w:sz w:val="28"/>
        </w:rPr>
      </w:pPr>
      <w:bookmarkStart w:id="32" w:name="_Toc213396946"/>
      <w:bookmarkStart w:id="33" w:name="_Toc4070"/>
      <w:bookmarkStart w:id="34" w:name="_Toc217446032"/>
      <w:bookmarkStart w:id="35" w:name="_Toc213396760"/>
      <w:bookmarkStart w:id="36" w:name="_Toc213496268"/>
      <w:bookmarkStart w:id="37" w:name="_Toc12463"/>
      <w:bookmarkStart w:id="38" w:name="_Toc189727030"/>
      <w:bookmarkStart w:id="39" w:name="_Toc361258135"/>
      <w:bookmarkStart w:id="40" w:name="_Toc213397010"/>
      <w:r>
        <w:rPr>
          <w:rFonts w:hint="eastAsia"/>
          <w:sz w:val="28"/>
        </w:rPr>
        <w:t>一、比选申请人须知附表</w:t>
      </w:r>
      <w:bookmarkEnd w:id="32"/>
      <w:bookmarkEnd w:id="33"/>
      <w:bookmarkEnd w:id="34"/>
      <w:bookmarkEnd w:id="35"/>
      <w:bookmarkEnd w:id="36"/>
      <w:bookmarkEnd w:id="37"/>
      <w:bookmarkEnd w:id="38"/>
      <w:bookmarkEnd w:id="39"/>
      <w:bookmarkEnd w:id="40"/>
    </w:p>
    <w:tbl>
      <w:tblPr>
        <w:tblStyle w:val="14"/>
        <w:tblW w:w="1016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769"/>
        <w:gridCol w:w="2312"/>
        <w:gridCol w:w="708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tblHeader/>
          <w:jc w:val="center"/>
        </w:trPr>
        <w:tc>
          <w:tcPr>
            <w:tcW w:w="769" w:type="dxa"/>
            <w:noWrap/>
            <w:vAlign w:val="center"/>
          </w:tcPr>
          <w:p>
            <w:pPr>
              <w:pStyle w:val="18"/>
              <w:spacing w:line="360" w:lineRule="exact"/>
              <w:ind w:left="9"/>
              <w:jc w:val="center"/>
              <w:rPr>
                <w:b/>
                <w:lang w:val="zh-CN"/>
              </w:rPr>
            </w:pPr>
            <w:r>
              <w:rPr>
                <w:rFonts w:hint="eastAsia"/>
                <w:b/>
                <w:lang w:val="zh-CN"/>
              </w:rPr>
              <w:t>序号</w:t>
            </w:r>
          </w:p>
        </w:tc>
        <w:tc>
          <w:tcPr>
            <w:tcW w:w="2312" w:type="dxa"/>
            <w:noWrap/>
            <w:vAlign w:val="center"/>
          </w:tcPr>
          <w:p>
            <w:pPr>
              <w:pStyle w:val="18"/>
              <w:spacing w:line="360" w:lineRule="exact"/>
              <w:ind w:left="38"/>
              <w:jc w:val="center"/>
              <w:rPr>
                <w:b/>
                <w:lang w:val="zh-CN"/>
              </w:rPr>
            </w:pPr>
            <w:r>
              <w:rPr>
                <w:rFonts w:hint="eastAsia"/>
                <w:b/>
                <w:lang w:val="zh-CN"/>
              </w:rPr>
              <w:t>条款名称</w:t>
            </w:r>
          </w:p>
        </w:tc>
        <w:tc>
          <w:tcPr>
            <w:tcW w:w="7081" w:type="dxa"/>
            <w:noWrap/>
            <w:vAlign w:val="center"/>
          </w:tcPr>
          <w:p>
            <w:pPr>
              <w:pStyle w:val="18"/>
              <w:spacing w:line="360" w:lineRule="exact"/>
              <w:jc w:val="center"/>
              <w:rPr>
                <w:b/>
                <w:lang w:val="zh-CN"/>
              </w:rPr>
            </w:pPr>
            <w:r>
              <w:rPr>
                <w:rFonts w:hint="eastAsia"/>
                <w:b/>
                <w:lang w:val="zh-CN"/>
              </w:rPr>
              <w:t>说明和要求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lang w:val="zh-CN"/>
              </w:rPr>
            </w:pPr>
            <w:r>
              <w:rPr>
                <w:rFonts w:cs="Courier New"/>
                <w:lang w:val="zh-CN"/>
              </w:rPr>
              <w:t>1</w:t>
            </w:r>
          </w:p>
        </w:tc>
        <w:tc>
          <w:tcPr>
            <w:tcW w:w="2312" w:type="dxa"/>
            <w:noWrap/>
            <w:vAlign w:val="center"/>
          </w:tcPr>
          <w:p>
            <w:pPr>
              <w:pStyle w:val="18"/>
              <w:spacing w:line="360" w:lineRule="exact"/>
              <w:jc w:val="center"/>
              <w:rPr>
                <w:lang w:val="zh-CN"/>
              </w:rPr>
            </w:pPr>
            <w:r>
              <w:rPr>
                <w:rFonts w:hint="eastAsia"/>
                <w:lang w:val="zh-CN"/>
              </w:rPr>
              <w:t>采购人</w:t>
            </w:r>
          </w:p>
        </w:tc>
        <w:tc>
          <w:tcPr>
            <w:tcW w:w="7081" w:type="dxa"/>
            <w:noWrap/>
            <w:vAlign w:val="center"/>
          </w:tcPr>
          <w:p>
            <w:pPr>
              <w:tabs>
                <w:tab w:val="left" w:pos="2310"/>
              </w:tabs>
              <w:spacing w:line="440" w:lineRule="exact"/>
              <w:ind w:right="420" w:rightChars="200" w:firstLine="120" w:firstLineChars="50"/>
              <w:rPr>
                <w:rFonts w:ascii="宋体" w:hAnsi="宋体"/>
                <w:sz w:val="24"/>
                <w:lang w:val="zh-CN"/>
              </w:rPr>
            </w:pPr>
            <w:r>
              <w:rPr>
                <w:rFonts w:hint="eastAsia" w:ascii="宋体" w:hAnsi="宋体"/>
                <w:sz w:val="24"/>
                <w:lang w:val="zh-CN"/>
              </w:rPr>
              <w:t>采 购 人：攀枝花三线文化有限公司；</w:t>
            </w:r>
          </w:p>
          <w:p>
            <w:pPr>
              <w:tabs>
                <w:tab w:val="left" w:pos="2310"/>
              </w:tabs>
              <w:spacing w:line="440" w:lineRule="exact"/>
              <w:ind w:right="420" w:rightChars="200" w:firstLine="120" w:firstLineChars="50"/>
              <w:rPr>
                <w:rFonts w:ascii="宋体" w:hAnsi="宋体"/>
                <w:sz w:val="24"/>
                <w:lang w:val="zh-CN"/>
              </w:rPr>
            </w:pPr>
            <w:r>
              <w:rPr>
                <w:rFonts w:hint="eastAsia" w:ascii="宋体" w:hAnsi="宋体"/>
                <w:sz w:val="24"/>
                <w:lang w:val="zh-CN"/>
              </w:rPr>
              <w:t>地    址：四川省攀枝花市仁和区红桐树街8号；</w:t>
            </w:r>
          </w:p>
          <w:p>
            <w:pPr>
              <w:tabs>
                <w:tab w:val="left" w:pos="2310"/>
              </w:tabs>
              <w:spacing w:line="440" w:lineRule="exact"/>
              <w:ind w:right="420" w:rightChars="200" w:firstLine="120" w:firstLineChars="50"/>
              <w:rPr>
                <w:rFonts w:ascii="宋体" w:hAnsi="宋体"/>
                <w:sz w:val="24"/>
                <w:lang w:val="zh-CN"/>
              </w:rPr>
            </w:pPr>
            <w:r>
              <w:rPr>
                <w:rFonts w:hint="eastAsia" w:ascii="宋体" w:hAnsi="宋体"/>
                <w:sz w:val="24"/>
                <w:lang w:val="zh-CN"/>
              </w:rPr>
              <w:t>联 系 人：张先生；</w:t>
            </w:r>
          </w:p>
          <w:p>
            <w:pPr>
              <w:tabs>
                <w:tab w:val="left" w:pos="2310"/>
              </w:tabs>
              <w:spacing w:line="440" w:lineRule="exact"/>
              <w:ind w:right="420" w:rightChars="200" w:firstLine="120" w:firstLineChars="50"/>
              <w:rPr>
                <w:sz w:val="24"/>
                <w:lang w:val="zh-CN"/>
              </w:rPr>
            </w:pPr>
            <w:r>
              <w:rPr>
                <w:rFonts w:hint="eastAsia" w:ascii="宋体" w:hAnsi="宋体"/>
                <w:sz w:val="24"/>
                <w:lang w:val="zh-CN"/>
              </w:rPr>
              <w:t>电话：18011000818。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lang w:val="zh-CN"/>
              </w:rPr>
            </w:pPr>
            <w:r>
              <w:rPr>
                <w:rFonts w:hint="eastAsia" w:cs="Courier New"/>
                <w:lang w:val="zh-CN"/>
              </w:rPr>
              <w:t>2</w:t>
            </w:r>
          </w:p>
        </w:tc>
        <w:tc>
          <w:tcPr>
            <w:tcW w:w="2312" w:type="dxa"/>
            <w:noWrap/>
            <w:vAlign w:val="center"/>
          </w:tcPr>
          <w:p>
            <w:pPr>
              <w:pStyle w:val="18"/>
              <w:spacing w:line="360" w:lineRule="exact"/>
              <w:ind w:left="38"/>
              <w:jc w:val="center"/>
              <w:rPr>
                <w:lang w:val="zh-CN"/>
              </w:rPr>
            </w:pPr>
            <w:r>
              <w:rPr>
                <w:rFonts w:hint="eastAsia"/>
                <w:lang w:val="zh-CN"/>
              </w:rPr>
              <w:t>比选代理机构</w:t>
            </w:r>
          </w:p>
        </w:tc>
        <w:tc>
          <w:tcPr>
            <w:tcW w:w="7081" w:type="dxa"/>
            <w:noWrap/>
            <w:vAlign w:val="center"/>
          </w:tcPr>
          <w:p>
            <w:pPr>
              <w:tabs>
                <w:tab w:val="left" w:pos="2310"/>
              </w:tabs>
              <w:spacing w:line="440" w:lineRule="exact"/>
              <w:ind w:right="420" w:rightChars="200" w:firstLine="120" w:firstLineChars="50"/>
              <w:rPr>
                <w:rFonts w:ascii="宋体" w:hAnsi="宋体"/>
                <w:sz w:val="24"/>
              </w:rPr>
            </w:pPr>
            <w:r>
              <w:rPr>
                <w:rFonts w:hint="eastAsia" w:ascii="宋体" w:hAnsi="宋体"/>
                <w:sz w:val="24"/>
                <w:lang w:val="zh-CN"/>
              </w:rPr>
              <w:t>名    称：</w:t>
            </w:r>
            <w:r>
              <w:rPr>
                <w:rFonts w:hint="eastAsia" w:ascii="宋体" w:hAnsi="宋体"/>
                <w:sz w:val="24"/>
              </w:rPr>
              <w:t>成都长源工程咨询有限公司；</w:t>
            </w:r>
          </w:p>
          <w:p>
            <w:pPr>
              <w:tabs>
                <w:tab w:val="left" w:pos="2310"/>
              </w:tabs>
              <w:spacing w:line="440" w:lineRule="exact"/>
              <w:ind w:right="420" w:rightChars="200" w:firstLine="120" w:firstLineChars="50"/>
              <w:rPr>
                <w:rFonts w:ascii="宋体" w:hAnsi="宋体"/>
                <w:sz w:val="24"/>
                <w:lang w:val="zh-CN"/>
              </w:rPr>
            </w:pPr>
            <w:r>
              <w:rPr>
                <w:rFonts w:hint="eastAsia" w:ascii="宋体" w:hAnsi="宋体"/>
                <w:sz w:val="24"/>
                <w:lang w:val="zh-CN"/>
              </w:rPr>
              <w:t>通讯地址：成都市武侯区环球中心E5区1502-1508号</w:t>
            </w:r>
            <w:r>
              <w:rPr>
                <w:rFonts w:hint="eastAsia" w:ascii="宋体" w:hAnsi="宋体"/>
                <w:sz w:val="24"/>
              </w:rPr>
              <w:t>；</w:t>
            </w:r>
          </w:p>
          <w:p>
            <w:pPr>
              <w:tabs>
                <w:tab w:val="left" w:pos="2310"/>
              </w:tabs>
              <w:spacing w:line="440" w:lineRule="exact"/>
              <w:ind w:right="420" w:rightChars="200" w:firstLine="120" w:firstLineChars="50"/>
              <w:rPr>
                <w:rFonts w:ascii="宋体" w:hAnsi="宋体"/>
                <w:sz w:val="24"/>
              </w:rPr>
            </w:pPr>
            <w:r>
              <w:rPr>
                <w:rFonts w:hint="eastAsia" w:ascii="宋体" w:hAnsi="宋体"/>
                <w:sz w:val="24"/>
              </w:rPr>
              <w:t xml:space="preserve">联 系 人：张女士； </w:t>
            </w:r>
          </w:p>
          <w:p>
            <w:pPr>
              <w:tabs>
                <w:tab w:val="left" w:pos="2310"/>
              </w:tabs>
              <w:spacing w:line="440" w:lineRule="exact"/>
              <w:ind w:right="420" w:rightChars="200" w:firstLine="120" w:firstLineChars="50"/>
              <w:rPr>
                <w:rFonts w:ascii="宋体" w:hAnsi="宋体"/>
                <w:sz w:val="24"/>
              </w:rPr>
            </w:pPr>
            <w:r>
              <w:rPr>
                <w:rFonts w:hint="eastAsia" w:ascii="宋体" w:hAnsi="宋体"/>
                <w:sz w:val="24"/>
              </w:rPr>
              <w:t>电    话：0812-3300108；</w:t>
            </w:r>
          </w:p>
          <w:p>
            <w:pPr>
              <w:tabs>
                <w:tab w:val="left" w:pos="2310"/>
              </w:tabs>
              <w:spacing w:line="440" w:lineRule="exact"/>
              <w:ind w:right="420" w:rightChars="200" w:firstLine="120" w:firstLineChars="50"/>
              <w:jc w:val="left"/>
              <w:rPr>
                <w:sz w:val="24"/>
              </w:rPr>
            </w:pPr>
            <w:r>
              <w:rPr>
                <w:rFonts w:hint="eastAsia" w:ascii="宋体" w:hAnsi="宋体"/>
                <w:sz w:val="24"/>
              </w:rPr>
              <w:t>报名咨询电话：0812-3300108。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2" w:hRule="atLeast"/>
          <w:jc w:val="center"/>
        </w:trPr>
        <w:tc>
          <w:tcPr>
            <w:tcW w:w="769" w:type="dxa"/>
            <w:noWrap/>
            <w:vAlign w:val="center"/>
          </w:tcPr>
          <w:p>
            <w:pPr>
              <w:pStyle w:val="18"/>
              <w:spacing w:line="360" w:lineRule="exact"/>
              <w:ind w:right="230"/>
              <w:jc w:val="center"/>
              <w:rPr>
                <w:rFonts w:cs="Courier New"/>
                <w:lang w:val="zh-CN"/>
              </w:rPr>
            </w:pPr>
            <w:r>
              <w:rPr>
                <w:rFonts w:hint="eastAsia" w:cs="Courier New"/>
                <w:lang w:val="zh-CN"/>
              </w:rPr>
              <w:t>3</w:t>
            </w:r>
          </w:p>
        </w:tc>
        <w:tc>
          <w:tcPr>
            <w:tcW w:w="2312" w:type="dxa"/>
            <w:noWrap/>
            <w:vAlign w:val="center"/>
          </w:tcPr>
          <w:p>
            <w:pPr>
              <w:pStyle w:val="18"/>
              <w:spacing w:line="360" w:lineRule="exact"/>
              <w:ind w:left="38"/>
              <w:jc w:val="center"/>
              <w:rPr>
                <w:lang w:val="zh-CN"/>
              </w:rPr>
            </w:pPr>
            <w:r>
              <w:rPr>
                <w:rFonts w:hint="eastAsia"/>
                <w:lang w:val="zh-CN"/>
              </w:rPr>
              <w:t>采购项目名称</w:t>
            </w:r>
          </w:p>
        </w:tc>
        <w:tc>
          <w:tcPr>
            <w:tcW w:w="7081" w:type="dxa"/>
            <w:noWrap/>
            <w:vAlign w:val="center"/>
          </w:tcPr>
          <w:p>
            <w:pPr>
              <w:spacing w:line="360" w:lineRule="exact"/>
              <w:ind w:left="120" w:leftChars="57"/>
              <w:jc w:val="left"/>
              <w:rPr>
                <w:rFonts w:ascii="宋体" w:hAnsi="宋体"/>
                <w:sz w:val="24"/>
              </w:rPr>
            </w:pPr>
            <w:r>
              <w:rPr>
                <w:rFonts w:hint="eastAsia" w:ascii="宋体" w:hAnsi="宋体"/>
                <w:sz w:val="24"/>
              </w:rPr>
              <w:t>攀枝花三线文化有限公司工程类项目法律顾问单位比选项目。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4</w:t>
            </w:r>
          </w:p>
        </w:tc>
        <w:tc>
          <w:tcPr>
            <w:tcW w:w="2312" w:type="dxa"/>
            <w:noWrap/>
            <w:vAlign w:val="center"/>
          </w:tcPr>
          <w:p>
            <w:pPr>
              <w:jc w:val="center"/>
              <w:rPr>
                <w:sz w:val="24"/>
                <w:lang w:val="zh-CN"/>
              </w:rPr>
            </w:pPr>
            <w:r>
              <w:rPr>
                <w:rFonts w:hint="eastAsia"/>
                <w:sz w:val="24"/>
                <w:lang w:val="zh-CN"/>
              </w:rPr>
              <w:t>最高限价</w:t>
            </w:r>
          </w:p>
          <w:p>
            <w:pPr>
              <w:jc w:val="center"/>
              <w:rPr>
                <w:sz w:val="24"/>
                <w:lang w:val="zh-CN"/>
              </w:rPr>
            </w:pPr>
            <w:r>
              <w:rPr>
                <w:rFonts w:hint="eastAsia" w:ascii="宋体" w:hAnsi="宋体"/>
                <w:b/>
                <w:bCs/>
                <w:sz w:val="24"/>
              </w:rPr>
              <w:t>（实质性要求）</w:t>
            </w:r>
          </w:p>
        </w:tc>
        <w:tc>
          <w:tcPr>
            <w:tcW w:w="7081" w:type="dxa"/>
            <w:noWrap/>
            <w:vAlign w:val="center"/>
          </w:tcPr>
          <w:p>
            <w:pPr>
              <w:pStyle w:val="18"/>
              <w:spacing w:line="360" w:lineRule="exact"/>
              <w:ind w:firstLine="120" w:firstLineChars="50"/>
              <w:jc w:val="both"/>
            </w:pPr>
            <w:r>
              <w:rPr>
                <w:rFonts w:hint="eastAsia"/>
              </w:rPr>
              <w:t>96000元。</w:t>
            </w:r>
            <w:r>
              <w:rPr>
                <w:rFonts w:hint="eastAsia"/>
                <w:lang w:val="zh-CN"/>
              </w:rPr>
              <w:t>32000元/年，服务期限</w:t>
            </w:r>
            <w:r>
              <w:rPr>
                <w:rFonts w:hint="eastAsia"/>
              </w:rPr>
              <w:t>3年。</w:t>
            </w:r>
            <w:r>
              <w:rPr>
                <w:rFonts w:hint="eastAsia"/>
                <w:b/>
              </w:rPr>
              <w:t>超过最高限价的报价无效。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5</w:t>
            </w:r>
          </w:p>
        </w:tc>
        <w:tc>
          <w:tcPr>
            <w:tcW w:w="2312" w:type="dxa"/>
            <w:noWrap/>
            <w:vAlign w:val="center"/>
          </w:tcPr>
          <w:p>
            <w:pPr>
              <w:pStyle w:val="18"/>
              <w:spacing w:line="360" w:lineRule="exact"/>
              <w:jc w:val="center"/>
              <w:rPr>
                <w:lang w:val="zh-CN"/>
              </w:rPr>
            </w:pPr>
            <w:r>
              <w:rPr>
                <w:rFonts w:hint="eastAsia"/>
                <w:lang w:val="zh-CN"/>
              </w:rPr>
              <w:t>采购方式</w:t>
            </w:r>
          </w:p>
        </w:tc>
        <w:tc>
          <w:tcPr>
            <w:tcW w:w="7081" w:type="dxa"/>
            <w:noWrap/>
            <w:vAlign w:val="center"/>
          </w:tcPr>
          <w:p>
            <w:pPr>
              <w:pStyle w:val="18"/>
              <w:spacing w:line="360" w:lineRule="exact"/>
              <w:ind w:firstLine="120" w:firstLineChars="50"/>
              <w:jc w:val="both"/>
              <w:rPr>
                <w:lang w:val="zh-CN"/>
              </w:rPr>
            </w:pPr>
            <w:r>
              <w:rPr>
                <w:rFonts w:hint="eastAsia"/>
                <w:lang w:val="zh-CN"/>
              </w:rPr>
              <w:t>比选。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6</w:t>
            </w:r>
          </w:p>
        </w:tc>
        <w:tc>
          <w:tcPr>
            <w:tcW w:w="2312" w:type="dxa"/>
            <w:noWrap/>
            <w:vAlign w:val="center"/>
          </w:tcPr>
          <w:p>
            <w:pPr>
              <w:pStyle w:val="18"/>
              <w:spacing w:line="360" w:lineRule="exact"/>
              <w:jc w:val="center"/>
              <w:rPr>
                <w:lang w:val="zh-CN"/>
              </w:rPr>
            </w:pPr>
            <w:r>
              <w:rPr>
                <w:rFonts w:hint="eastAsia"/>
                <w:lang w:val="zh-CN"/>
              </w:rPr>
              <w:t>评审方法</w:t>
            </w:r>
          </w:p>
        </w:tc>
        <w:tc>
          <w:tcPr>
            <w:tcW w:w="7081" w:type="dxa"/>
            <w:noWrap/>
            <w:vAlign w:val="center"/>
          </w:tcPr>
          <w:p>
            <w:pPr>
              <w:pStyle w:val="18"/>
              <w:spacing w:line="360" w:lineRule="exact"/>
              <w:ind w:firstLine="120" w:firstLineChars="50"/>
              <w:rPr>
                <w:lang w:val="zh-CN"/>
              </w:rPr>
            </w:pPr>
            <w:r>
              <w:rPr>
                <w:rFonts w:hint="eastAsia"/>
                <w:lang w:val="zh-CN"/>
              </w:rPr>
              <w:t>综合评分法，总分值为100分。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7</w:t>
            </w:r>
          </w:p>
        </w:tc>
        <w:tc>
          <w:tcPr>
            <w:tcW w:w="2312" w:type="dxa"/>
            <w:noWrap/>
            <w:vAlign w:val="center"/>
          </w:tcPr>
          <w:p>
            <w:pPr>
              <w:pStyle w:val="18"/>
              <w:ind w:left="38"/>
              <w:jc w:val="center"/>
            </w:pPr>
            <w:r>
              <w:rPr>
                <w:rFonts w:hint="eastAsia"/>
              </w:rPr>
              <w:t>低于成本价</w:t>
            </w:r>
          </w:p>
          <w:p>
            <w:pPr>
              <w:pStyle w:val="18"/>
              <w:ind w:left="38"/>
              <w:jc w:val="center"/>
            </w:pPr>
            <w:r>
              <w:rPr>
                <w:rFonts w:hint="eastAsia"/>
              </w:rPr>
              <w:t>不正当竞争预防措施</w:t>
            </w:r>
          </w:p>
          <w:p>
            <w:pPr>
              <w:jc w:val="center"/>
              <w:rPr>
                <w:rFonts w:ascii="宋体" w:hAnsi="宋体"/>
                <w:b/>
                <w:bCs/>
                <w:sz w:val="24"/>
              </w:rPr>
            </w:pPr>
            <w:r>
              <w:rPr>
                <w:rFonts w:hint="eastAsia"/>
                <w:sz w:val="24"/>
              </w:rPr>
              <w:t>（实质性要求）</w:t>
            </w:r>
          </w:p>
        </w:tc>
        <w:tc>
          <w:tcPr>
            <w:tcW w:w="7081" w:type="dxa"/>
            <w:noWrap/>
            <w:vAlign w:val="center"/>
          </w:tcPr>
          <w:p>
            <w:pPr>
              <w:pStyle w:val="19"/>
              <w:tabs>
                <w:tab w:val="left" w:pos="7665"/>
              </w:tabs>
              <w:snapToGrid w:val="0"/>
              <w:spacing w:line="288" w:lineRule="auto"/>
              <w:jc w:val="left"/>
              <w:rPr>
                <w:rFonts w:cs="宋体"/>
                <w:bCs/>
              </w:rPr>
            </w:pPr>
            <w:r>
              <w:rPr>
                <w:rFonts w:hint="eastAsia" w:cs="宋体"/>
                <w:bCs/>
              </w:rPr>
              <w:t>1.在评审过程中，评审委员会认为申请人的报价明显低于其他通过符合性审查申请人的报价，有可能影响产品质量或者不能诚信履约评审委员会应当要求其在磋商现场合理的时间内提供书面说明，并提交相关证明材料，申请人不能证明其报价合理性的，评审委员会应当将其作为无效处理。申请人的书面说明材料应当按照国家财务会计制度的规定要求，逐项就申请人提供的货物、工程和服务的主营业务成本、税金及附加、销售费用、管理费用、财务费用等成本构成事项详细陈述。</w:t>
            </w:r>
          </w:p>
          <w:p>
            <w:pPr>
              <w:pStyle w:val="19"/>
              <w:tabs>
                <w:tab w:val="left" w:pos="7665"/>
              </w:tabs>
              <w:snapToGrid w:val="0"/>
              <w:spacing w:line="288" w:lineRule="auto"/>
              <w:jc w:val="left"/>
              <w:rPr>
                <w:rFonts w:cs="宋体"/>
                <w:bCs/>
              </w:rPr>
            </w:pPr>
            <w:r>
              <w:rPr>
                <w:rFonts w:hint="eastAsia" w:cs="宋体"/>
                <w:bCs/>
              </w:rPr>
              <w:t>2比选申请人书面说明应当签字确认或者加盖公章，否则无效。书面说明的签字确认，由其法定代表人/主要负责人/本人或者其授权代表签字确认。</w:t>
            </w:r>
          </w:p>
          <w:p>
            <w:pPr>
              <w:pStyle w:val="18"/>
              <w:spacing w:line="360" w:lineRule="exact"/>
              <w:ind w:left="48" w:leftChars="23" w:firstLine="120" w:firstLineChars="50"/>
              <w:rPr>
                <w:bCs/>
              </w:rPr>
            </w:pPr>
            <w:r>
              <w:rPr>
                <w:rFonts w:hint="eastAsia"/>
                <w:bCs/>
                <w:kern w:val="2"/>
              </w:rPr>
              <w:t>3.比选申请人提供书面说明后，评审委员会应当结合采购项目采购需求、专业实际情况、申请人财务状况报告、与其他申请人商比较情况等就申请人书面说明进行审查评价。申请人拒绝或者变相拒绝提供有效书面说明或者书面说明不能证明其报价合理性的或未在规定时间内递交有效书面说明书的，评审委员会应当将其响应文件作为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8</w:t>
            </w:r>
          </w:p>
        </w:tc>
        <w:tc>
          <w:tcPr>
            <w:tcW w:w="2312" w:type="dxa"/>
            <w:noWrap/>
            <w:vAlign w:val="center"/>
          </w:tcPr>
          <w:p>
            <w:pPr>
              <w:pStyle w:val="18"/>
              <w:spacing w:line="360" w:lineRule="exact"/>
              <w:ind w:left="96"/>
              <w:jc w:val="center"/>
              <w:rPr>
                <w:rFonts w:ascii="Times New Roman" w:hAnsi="Times New Roman" w:cs="Times New Roman"/>
                <w:lang w:val="zh-CN"/>
              </w:rPr>
            </w:pPr>
            <w:r>
              <w:rPr>
                <w:rFonts w:hint="eastAsia" w:ascii="Times New Roman" w:hAnsi="Times New Roman" w:cs="Times New Roman"/>
                <w:lang w:val="zh-CN"/>
              </w:rPr>
              <w:t>服务期限及地点</w:t>
            </w:r>
          </w:p>
          <w:p>
            <w:pPr>
              <w:jc w:val="center"/>
              <w:rPr>
                <w:sz w:val="24"/>
                <w:lang w:val="zh-CN"/>
              </w:rPr>
            </w:pPr>
            <w:r>
              <w:rPr>
                <w:rFonts w:hint="eastAsia" w:ascii="宋体" w:hAnsi="宋体"/>
                <w:b/>
                <w:bCs/>
                <w:sz w:val="24"/>
              </w:rPr>
              <w:t>（实质性要求）</w:t>
            </w:r>
          </w:p>
        </w:tc>
        <w:tc>
          <w:tcPr>
            <w:tcW w:w="7081" w:type="dxa"/>
            <w:noWrap/>
            <w:vAlign w:val="center"/>
          </w:tcPr>
          <w:p>
            <w:pPr>
              <w:pStyle w:val="18"/>
              <w:spacing w:line="360" w:lineRule="exact"/>
              <w:ind w:left="48" w:leftChars="23" w:firstLine="120" w:firstLineChars="50"/>
              <w:rPr>
                <w:bCs/>
              </w:rPr>
            </w:pPr>
            <w:r>
              <w:rPr>
                <w:rFonts w:hint="eastAsia" w:ascii="Times New Roman" w:hAnsi="Times New Roman" w:cs="Times New Roman"/>
                <w:lang w:val="zh-CN"/>
              </w:rPr>
              <w:t>服务期限：</w:t>
            </w:r>
            <w:r>
              <w:rPr>
                <w:rFonts w:hint="eastAsia" w:ascii="Times New Roman" w:hAnsi="Times New Roman" w:cs="Times New Roman"/>
              </w:rPr>
              <w:t>3年</w:t>
            </w:r>
            <w:r>
              <w:rPr>
                <w:rFonts w:hint="eastAsia"/>
                <w:bCs/>
              </w:rPr>
              <w:t>。</w:t>
            </w:r>
          </w:p>
          <w:p>
            <w:pPr>
              <w:pStyle w:val="18"/>
              <w:spacing w:line="360" w:lineRule="exact"/>
              <w:ind w:left="48" w:leftChars="23" w:firstLine="120" w:firstLineChars="50"/>
              <w:rPr>
                <w:bCs/>
              </w:rPr>
            </w:pPr>
            <w:r>
              <w:rPr>
                <w:rFonts w:hint="eastAsia"/>
                <w:bCs/>
              </w:rPr>
              <w:t>服务地点：</w:t>
            </w:r>
            <w:r>
              <w:rPr>
                <w:rFonts w:hint="eastAsia"/>
                <w:lang w:val="zh-CN"/>
              </w:rPr>
              <w:t>攀枝花三线文化有限公司</w:t>
            </w:r>
            <w:r>
              <w:rPr>
                <w:rFonts w:hint="eastAsia"/>
                <w:bCs/>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rPr>
              <w:t>9</w:t>
            </w:r>
          </w:p>
        </w:tc>
        <w:tc>
          <w:tcPr>
            <w:tcW w:w="2312" w:type="dxa"/>
            <w:noWrap/>
            <w:vAlign w:val="center"/>
          </w:tcPr>
          <w:p>
            <w:pPr>
              <w:pStyle w:val="18"/>
              <w:spacing w:line="360" w:lineRule="exact"/>
              <w:jc w:val="center"/>
              <w:rPr>
                <w:lang w:val="zh-CN"/>
              </w:rPr>
            </w:pPr>
            <w:r>
              <w:rPr>
                <w:rFonts w:hint="eastAsia"/>
                <w:lang w:val="zh-CN"/>
              </w:rPr>
              <w:t>联合体</w:t>
            </w:r>
          </w:p>
          <w:p>
            <w:pPr>
              <w:jc w:val="center"/>
              <w:rPr>
                <w:sz w:val="24"/>
                <w:lang w:val="zh-CN"/>
              </w:rPr>
            </w:pPr>
            <w:r>
              <w:rPr>
                <w:rFonts w:hint="eastAsia" w:ascii="宋体" w:hAnsi="宋体"/>
                <w:b/>
                <w:bCs/>
                <w:sz w:val="24"/>
              </w:rPr>
              <w:t>（实质性要求）</w:t>
            </w:r>
          </w:p>
        </w:tc>
        <w:tc>
          <w:tcPr>
            <w:tcW w:w="7081" w:type="dxa"/>
            <w:noWrap/>
            <w:vAlign w:val="center"/>
          </w:tcPr>
          <w:p>
            <w:pPr>
              <w:pStyle w:val="18"/>
              <w:spacing w:line="360" w:lineRule="exact"/>
              <w:ind w:left="46" w:leftChars="22" w:firstLine="120" w:firstLineChars="50"/>
              <w:jc w:val="both"/>
              <w:rPr>
                <w:lang w:val="zh-CN"/>
              </w:rPr>
            </w:pPr>
            <w:r>
              <w:rPr>
                <w:rFonts w:hint="eastAsia"/>
              </w:rPr>
              <w:t>此次采购不接受联合体比选。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30"/>
              <w:jc w:val="center"/>
              <w:rPr>
                <w:rFonts w:cs="Courier New"/>
              </w:rPr>
            </w:pPr>
            <w:r>
              <w:rPr>
                <w:rFonts w:hint="eastAsia" w:cs="Courier New"/>
                <w:lang w:val="zh-CN"/>
              </w:rPr>
              <w:t>1</w:t>
            </w:r>
            <w:r>
              <w:rPr>
                <w:rFonts w:hint="eastAsia" w:cs="Courier New"/>
              </w:rPr>
              <w:t>0</w:t>
            </w:r>
          </w:p>
        </w:tc>
        <w:tc>
          <w:tcPr>
            <w:tcW w:w="2312" w:type="dxa"/>
            <w:noWrap/>
            <w:vAlign w:val="center"/>
          </w:tcPr>
          <w:p>
            <w:pPr>
              <w:pStyle w:val="18"/>
              <w:spacing w:line="360" w:lineRule="exact"/>
              <w:jc w:val="center"/>
              <w:rPr>
                <w:lang w:val="zh-CN"/>
              </w:rPr>
            </w:pPr>
            <w:r>
              <w:rPr>
                <w:rFonts w:hint="eastAsia"/>
                <w:lang w:val="zh-CN"/>
              </w:rPr>
              <w:t>分包履约</w:t>
            </w:r>
          </w:p>
          <w:p>
            <w:pPr>
              <w:pStyle w:val="18"/>
              <w:spacing w:line="360" w:lineRule="exact"/>
              <w:jc w:val="center"/>
              <w:rPr>
                <w:lang w:val="zh-CN"/>
              </w:rPr>
            </w:pPr>
            <w:r>
              <w:rPr>
                <w:rFonts w:hint="eastAsia"/>
                <w:b/>
                <w:bCs/>
              </w:rPr>
              <w:t>（实质性要求）</w:t>
            </w:r>
          </w:p>
        </w:tc>
        <w:tc>
          <w:tcPr>
            <w:tcW w:w="7081" w:type="dxa"/>
            <w:noWrap/>
            <w:vAlign w:val="center"/>
          </w:tcPr>
          <w:p>
            <w:pPr>
              <w:pStyle w:val="18"/>
              <w:spacing w:line="360" w:lineRule="exact"/>
              <w:ind w:firstLine="120" w:firstLineChars="50"/>
            </w:pPr>
            <w:r>
              <w:rPr>
                <w:rFonts w:hint="eastAsia"/>
                <w:lang w:val="zh-CN"/>
              </w:rPr>
              <w:t>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153" w:hRule="atLeast"/>
          <w:jc w:val="center"/>
        </w:trPr>
        <w:tc>
          <w:tcPr>
            <w:tcW w:w="769" w:type="dxa"/>
            <w:noWrap/>
            <w:vAlign w:val="center"/>
          </w:tcPr>
          <w:p>
            <w:pPr>
              <w:pStyle w:val="18"/>
              <w:spacing w:line="360" w:lineRule="exact"/>
              <w:ind w:right="230"/>
              <w:jc w:val="center"/>
              <w:rPr>
                <w:rFonts w:cs="Courier New"/>
              </w:rPr>
            </w:pPr>
            <w:r>
              <w:rPr>
                <w:rFonts w:hint="eastAsia" w:cs="Courier New"/>
                <w:lang w:val="zh-CN"/>
              </w:rPr>
              <w:t>1</w:t>
            </w:r>
            <w:r>
              <w:rPr>
                <w:rFonts w:hint="eastAsia" w:cs="Courier New"/>
              </w:rPr>
              <w:t>1</w:t>
            </w:r>
          </w:p>
        </w:tc>
        <w:tc>
          <w:tcPr>
            <w:tcW w:w="2312" w:type="dxa"/>
            <w:noWrap/>
            <w:vAlign w:val="center"/>
          </w:tcPr>
          <w:p>
            <w:pPr>
              <w:pStyle w:val="18"/>
              <w:spacing w:line="360" w:lineRule="exact"/>
              <w:jc w:val="center"/>
              <w:rPr>
                <w:lang w:val="zh-CN"/>
              </w:rPr>
            </w:pPr>
            <w:r>
              <w:rPr>
                <w:rFonts w:hint="eastAsia"/>
                <w:lang w:val="zh-CN"/>
              </w:rPr>
              <w:t>比选申请文件份数</w:t>
            </w:r>
          </w:p>
        </w:tc>
        <w:tc>
          <w:tcPr>
            <w:tcW w:w="7081" w:type="dxa"/>
            <w:noWrap/>
            <w:vAlign w:val="center"/>
          </w:tcPr>
          <w:p>
            <w:pPr>
              <w:pStyle w:val="18"/>
              <w:spacing w:line="360" w:lineRule="exact"/>
              <w:ind w:firstLine="240" w:firstLineChars="100"/>
              <w:rPr>
                <w:lang w:val="zh-CN"/>
              </w:rPr>
            </w:pPr>
            <w:r>
              <w:rPr>
                <w:rFonts w:hint="eastAsia"/>
                <w:lang w:val="zh-CN"/>
              </w:rPr>
              <w:t>正本1份；副本2份，</w:t>
            </w:r>
            <w:r>
              <w:rPr>
                <w:rFonts w:hint="eastAsia"/>
                <w:b/>
                <w:lang w:val="zh-CN"/>
              </w:rPr>
              <w:t>合并密封</w:t>
            </w:r>
            <w:r>
              <w:rPr>
                <w:rFonts w:hint="eastAsia"/>
                <w:lang w:val="zh-CN"/>
              </w:rPr>
              <w:t>。</w:t>
            </w:r>
          </w:p>
          <w:p>
            <w:pPr>
              <w:pStyle w:val="18"/>
              <w:spacing w:line="360" w:lineRule="exact"/>
              <w:ind w:firstLine="240" w:firstLineChars="100"/>
              <w:rPr>
                <w:lang w:val="zh-CN"/>
              </w:rPr>
            </w:pPr>
            <w:r>
              <w:rPr>
                <w:rFonts w:hint="eastAsia"/>
                <w:lang w:val="zh-CN"/>
              </w:rPr>
              <w:t>比选申请文件电子档U盘1份，单独密封。</w:t>
            </w:r>
          </w:p>
          <w:p>
            <w:pPr>
              <w:pStyle w:val="18"/>
              <w:spacing w:line="360" w:lineRule="exact"/>
              <w:ind w:firstLine="240" w:firstLineChars="100"/>
              <w:rPr>
                <w:lang w:val="zh-CN"/>
              </w:rPr>
            </w:pPr>
            <w:r>
              <w:rPr>
                <w:rFonts w:hint="eastAsia"/>
                <w:lang w:val="zh-CN"/>
              </w:rPr>
              <w:t>“开标一览表”1份，单独密封。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542" w:hRule="atLeast"/>
          <w:jc w:val="center"/>
        </w:trPr>
        <w:tc>
          <w:tcPr>
            <w:tcW w:w="769" w:type="dxa"/>
            <w:noWrap/>
            <w:vAlign w:val="center"/>
          </w:tcPr>
          <w:p>
            <w:pPr>
              <w:pStyle w:val="18"/>
              <w:spacing w:line="360" w:lineRule="exact"/>
              <w:ind w:right="230"/>
              <w:jc w:val="center"/>
              <w:rPr>
                <w:rFonts w:cs="Courier New"/>
              </w:rPr>
            </w:pPr>
            <w:r>
              <w:rPr>
                <w:rFonts w:hint="eastAsia" w:cs="Courier New"/>
                <w:lang w:val="zh-CN"/>
              </w:rPr>
              <w:t>1</w:t>
            </w:r>
            <w:r>
              <w:rPr>
                <w:rFonts w:hint="eastAsia" w:cs="Courier New"/>
              </w:rPr>
              <w:t>2</w:t>
            </w:r>
          </w:p>
        </w:tc>
        <w:tc>
          <w:tcPr>
            <w:tcW w:w="2312" w:type="dxa"/>
            <w:noWrap/>
            <w:vAlign w:val="center"/>
          </w:tcPr>
          <w:p>
            <w:pPr>
              <w:pStyle w:val="18"/>
              <w:spacing w:line="360" w:lineRule="exact"/>
              <w:jc w:val="center"/>
              <w:rPr>
                <w:lang w:val="zh-CN"/>
              </w:rPr>
            </w:pPr>
            <w:r>
              <w:rPr>
                <w:rFonts w:hint="eastAsia"/>
                <w:lang w:val="zh-CN"/>
              </w:rPr>
              <w:t>比选申请文件的装订</w:t>
            </w:r>
          </w:p>
        </w:tc>
        <w:tc>
          <w:tcPr>
            <w:tcW w:w="7081" w:type="dxa"/>
            <w:noWrap/>
            <w:vAlign w:val="center"/>
          </w:tcPr>
          <w:p>
            <w:pPr>
              <w:pStyle w:val="18"/>
              <w:spacing w:line="360" w:lineRule="exact"/>
              <w:ind w:firstLine="240" w:firstLineChars="100"/>
              <w:rPr>
                <w:lang w:val="zh-CN"/>
              </w:rPr>
            </w:pPr>
            <w:r>
              <w:rPr>
                <w:rFonts w:hint="eastAsia"/>
                <w:lang w:val="zh-CN"/>
              </w:rPr>
              <w:t>正本和副本及“开标一览表”分别装订。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769" w:type="dxa"/>
            <w:noWrap/>
            <w:vAlign w:val="center"/>
          </w:tcPr>
          <w:p>
            <w:pPr>
              <w:pStyle w:val="18"/>
              <w:spacing w:line="360" w:lineRule="exact"/>
              <w:ind w:right="230"/>
              <w:jc w:val="center"/>
            </w:pPr>
            <w:r>
              <w:rPr>
                <w:rFonts w:hint="eastAsia" w:cs="Courier New"/>
              </w:rPr>
              <w:t>13</w:t>
            </w:r>
          </w:p>
        </w:tc>
        <w:tc>
          <w:tcPr>
            <w:tcW w:w="2312" w:type="dxa"/>
            <w:noWrap/>
            <w:vAlign w:val="center"/>
          </w:tcPr>
          <w:p>
            <w:pPr>
              <w:pStyle w:val="18"/>
              <w:spacing w:line="360" w:lineRule="exact"/>
              <w:jc w:val="center"/>
              <w:rPr>
                <w:lang w:val="zh-CN"/>
              </w:rPr>
            </w:pPr>
            <w:r>
              <w:rPr>
                <w:rFonts w:hint="eastAsia"/>
                <w:lang w:val="zh-CN"/>
              </w:rPr>
              <w:t>比选申请文件封面的标注</w:t>
            </w:r>
          </w:p>
        </w:tc>
        <w:tc>
          <w:tcPr>
            <w:tcW w:w="7081" w:type="dxa"/>
            <w:noWrap/>
            <w:vAlign w:val="center"/>
          </w:tcPr>
          <w:p>
            <w:pPr>
              <w:pStyle w:val="18"/>
              <w:spacing w:line="360" w:lineRule="exact"/>
              <w:ind w:left="48" w:leftChars="23" w:firstLine="120" w:firstLineChars="50"/>
              <w:rPr>
                <w:rFonts w:ascii="Times New Roman" w:hAnsi="Times New Roman" w:cs="Times New Roman"/>
                <w:lang w:val="zh-CN"/>
              </w:rPr>
            </w:pPr>
            <w:r>
              <w:rPr>
                <w:rFonts w:hint="eastAsia" w:ascii="Times New Roman" w:hAnsi="Times New Roman" w:cs="Times New Roman"/>
                <w:lang w:val="zh-CN"/>
              </w:rPr>
              <w:t>比选申请文件正本和副本的封面上均应标明：项目名称、项目编号、分包号、比选申请人名称、年月日；并分别在右上角标明“正本”和“副本”字样。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44" w:hRule="atLeast"/>
          <w:jc w:val="center"/>
        </w:trPr>
        <w:tc>
          <w:tcPr>
            <w:tcW w:w="769" w:type="dxa"/>
            <w:noWrap/>
            <w:vAlign w:val="center"/>
          </w:tcPr>
          <w:p>
            <w:pPr>
              <w:pStyle w:val="18"/>
              <w:spacing w:line="360" w:lineRule="exact"/>
              <w:ind w:right="230"/>
              <w:jc w:val="center"/>
              <w:rPr>
                <w:rFonts w:cs="Courier New"/>
              </w:rPr>
            </w:pPr>
            <w:r>
              <w:rPr>
                <w:rFonts w:hint="eastAsia" w:cs="Courier New"/>
                <w:lang w:val="zh-CN"/>
              </w:rPr>
              <w:t>1</w:t>
            </w:r>
            <w:r>
              <w:rPr>
                <w:rFonts w:hint="eastAsia" w:cs="Courier New"/>
              </w:rPr>
              <w:t>4</w:t>
            </w:r>
          </w:p>
        </w:tc>
        <w:tc>
          <w:tcPr>
            <w:tcW w:w="2312" w:type="dxa"/>
            <w:noWrap/>
            <w:vAlign w:val="center"/>
          </w:tcPr>
          <w:p>
            <w:pPr>
              <w:pStyle w:val="18"/>
              <w:spacing w:line="360" w:lineRule="exact"/>
              <w:ind w:left="52"/>
              <w:jc w:val="center"/>
              <w:rPr>
                <w:lang w:val="zh-CN"/>
              </w:rPr>
            </w:pPr>
            <w:r>
              <w:rPr>
                <w:rFonts w:hint="eastAsia"/>
                <w:lang w:val="zh-CN"/>
              </w:rPr>
              <w:t>构成比选申请文件的其他文件</w:t>
            </w:r>
          </w:p>
        </w:tc>
        <w:tc>
          <w:tcPr>
            <w:tcW w:w="7081" w:type="dxa"/>
            <w:noWrap/>
            <w:vAlign w:val="center"/>
          </w:tcPr>
          <w:p>
            <w:pPr>
              <w:pStyle w:val="18"/>
              <w:spacing w:line="360" w:lineRule="exact"/>
              <w:ind w:left="48" w:leftChars="23" w:firstLine="120" w:firstLineChars="50"/>
              <w:rPr>
                <w:rFonts w:ascii="Times New Roman" w:hAnsi="Times New Roman" w:cs="Times New Roman"/>
                <w:lang w:val="zh-CN"/>
              </w:rPr>
            </w:pPr>
            <w:r>
              <w:rPr>
                <w:rFonts w:hint="eastAsia" w:ascii="Times New Roman" w:hAnsi="Times New Roman" w:cs="Times New Roman"/>
                <w:lang w:val="zh-CN"/>
              </w:rPr>
              <w:t>比选文件的澄清、修改书及有关补充通知为比选文件的有效组成部分。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64"/>
              <w:jc w:val="center"/>
              <w:rPr>
                <w:rFonts w:cs="Courier New"/>
              </w:rPr>
            </w:pPr>
            <w:r>
              <w:rPr>
                <w:rFonts w:cs="Courier New"/>
                <w:lang w:val="zh-CN"/>
              </w:rPr>
              <w:t>1</w:t>
            </w:r>
            <w:r>
              <w:rPr>
                <w:rFonts w:hint="eastAsia" w:cs="Courier New"/>
              </w:rPr>
              <w:t>5</w:t>
            </w:r>
          </w:p>
        </w:tc>
        <w:tc>
          <w:tcPr>
            <w:tcW w:w="2312" w:type="dxa"/>
            <w:noWrap/>
            <w:vAlign w:val="center"/>
          </w:tcPr>
          <w:p>
            <w:pPr>
              <w:pStyle w:val="18"/>
              <w:spacing w:line="360" w:lineRule="exact"/>
              <w:ind w:left="52"/>
              <w:jc w:val="center"/>
              <w:rPr>
                <w:lang w:val="zh-CN"/>
              </w:rPr>
            </w:pPr>
            <w:r>
              <w:rPr>
                <w:rFonts w:hint="eastAsia"/>
                <w:lang w:val="zh-CN"/>
              </w:rPr>
              <w:t>比选申请</w:t>
            </w:r>
            <w:r>
              <w:rPr>
                <w:lang w:val="zh-CN"/>
              </w:rPr>
              <w:t>文件</w:t>
            </w:r>
          </w:p>
          <w:p>
            <w:pPr>
              <w:pStyle w:val="18"/>
              <w:spacing w:line="360" w:lineRule="exact"/>
              <w:ind w:left="52"/>
              <w:jc w:val="center"/>
              <w:rPr>
                <w:lang w:val="zh-CN"/>
              </w:rPr>
            </w:pPr>
            <w:r>
              <w:rPr>
                <w:lang w:val="zh-CN"/>
              </w:rPr>
              <w:t>递交</w:t>
            </w:r>
            <w:r>
              <w:rPr>
                <w:rFonts w:hint="eastAsia"/>
                <w:lang w:val="zh-CN"/>
              </w:rPr>
              <w:t>起止时间</w:t>
            </w:r>
          </w:p>
        </w:tc>
        <w:tc>
          <w:tcPr>
            <w:tcW w:w="7081" w:type="dxa"/>
            <w:noWrap/>
            <w:vAlign w:val="center"/>
          </w:tcPr>
          <w:p>
            <w:pPr>
              <w:pStyle w:val="18"/>
              <w:spacing w:line="360" w:lineRule="exact"/>
              <w:ind w:left="48" w:leftChars="23" w:firstLine="120" w:firstLineChars="50"/>
              <w:rPr>
                <w:rFonts w:ascii="Times New Roman" w:hAnsi="Times New Roman" w:cs="Times New Roman"/>
                <w:lang w:val="zh-CN"/>
              </w:rPr>
            </w:pPr>
            <w:r>
              <w:rPr>
                <w:rFonts w:hint="eastAsia" w:ascii="Times New Roman" w:hAnsi="Times New Roman" w:cs="Times New Roman"/>
                <w:lang w:val="zh-CN"/>
              </w:rPr>
              <w:t>20</w:t>
            </w:r>
            <w:r>
              <w:rPr>
                <w:rFonts w:hint="eastAsia" w:ascii="Times New Roman" w:hAnsi="Times New Roman" w:cs="Times New Roman"/>
              </w:rPr>
              <w:t>20</w:t>
            </w:r>
            <w:r>
              <w:rPr>
                <w:rFonts w:hint="eastAsia" w:ascii="Times New Roman" w:hAnsi="Times New Roman" w:cs="Times New Roman"/>
                <w:lang w:val="zh-CN"/>
              </w:rPr>
              <w:t>年</w:t>
            </w:r>
            <w:r>
              <w:rPr>
                <w:rFonts w:hint="eastAsia" w:ascii="Times New Roman" w:hAnsi="Times New Roman" w:cs="Times New Roman"/>
                <w:lang w:val="en-US" w:eastAsia="zh-CN"/>
              </w:rPr>
              <w:t>09</w:t>
            </w:r>
            <w:r>
              <w:rPr>
                <w:rFonts w:hint="eastAsia" w:ascii="Times New Roman" w:hAnsi="Times New Roman" w:cs="Times New Roman"/>
                <w:lang w:val="zh-CN"/>
              </w:rPr>
              <w:t>月</w:t>
            </w:r>
            <w:r>
              <w:rPr>
                <w:rFonts w:hint="eastAsia" w:ascii="Times New Roman" w:hAnsi="Times New Roman" w:cs="Times New Roman"/>
                <w:lang w:val="en-US" w:eastAsia="zh-CN"/>
              </w:rPr>
              <w:t>11</w:t>
            </w:r>
            <w:r>
              <w:rPr>
                <w:rFonts w:hint="eastAsia" w:ascii="Times New Roman" w:hAnsi="Times New Roman" w:cs="Times New Roman"/>
                <w:lang w:val="zh-CN"/>
              </w:rPr>
              <w:t>日</w:t>
            </w:r>
            <w:r>
              <w:rPr>
                <w:rFonts w:hint="eastAsia" w:ascii="Times New Roman" w:hAnsi="Times New Roman" w:cs="Times New Roman"/>
              </w:rPr>
              <w:t>08</w:t>
            </w:r>
            <w:r>
              <w:rPr>
                <w:rFonts w:hint="eastAsia" w:ascii="Times New Roman" w:hAnsi="Times New Roman" w:cs="Times New Roman"/>
                <w:lang w:val="zh-CN"/>
              </w:rPr>
              <w:t>时</w:t>
            </w:r>
            <w:r>
              <w:rPr>
                <w:rFonts w:hint="eastAsia" w:ascii="Times New Roman" w:hAnsi="Times New Roman" w:cs="Times New Roman"/>
              </w:rPr>
              <w:t>3</w:t>
            </w:r>
            <w:r>
              <w:rPr>
                <w:rFonts w:hint="eastAsia" w:ascii="Times New Roman" w:hAnsi="Times New Roman" w:cs="Times New Roman"/>
                <w:lang w:val="zh-CN"/>
              </w:rPr>
              <w:t>0分至20</w:t>
            </w:r>
            <w:r>
              <w:rPr>
                <w:rFonts w:hint="eastAsia" w:ascii="Times New Roman" w:hAnsi="Times New Roman" w:cs="Times New Roman"/>
              </w:rPr>
              <w:t>20</w:t>
            </w:r>
            <w:r>
              <w:rPr>
                <w:rFonts w:hint="eastAsia" w:ascii="Times New Roman" w:hAnsi="Times New Roman" w:cs="Times New Roman"/>
                <w:lang w:val="zh-CN"/>
              </w:rPr>
              <w:t>年</w:t>
            </w:r>
            <w:r>
              <w:rPr>
                <w:rFonts w:hint="eastAsia" w:ascii="Times New Roman" w:hAnsi="Times New Roman" w:cs="Times New Roman"/>
              </w:rPr>
              <w:t>0</w:t>
            </w:r>
            <w:r>
              <w:rPr>
                <w:rFonts w:hint="eastAsia" w:ascii="Times New Roman" w:hAnsi="Times New Roman" w:cs="Times New Roman"/>
                <w:lang w:val="en-US" w:eastAsia="zh-CN"/>
              </w:rPr>
              <w:t>9</w:t>
            </w:r>
            <w:r>
              <w:rPr>
                <w:rFonts w:hint="eastAsia" w:ascii="Times New Roman" w:hAnsi="Times New Roman" w:cs="Times New Roman"/>
                <w:lang w:val="zh-CN"/>
              </w:rPr>
              <w:t>月</w:t>
            </w:r>
            <w:r>
              <w:rPr>
                <w:rFonts w:hint="eastAsia" w:ascii="Times New Roman" w:hAnsi="Times New Roman" w:cs="Times New Roman"/>
                <w:lang w:val="en-US" w:eastAsia="zh-CN"/>
              </w:rPr>
              <w:t>11</w:t>
            </w:r>
            <w:r>
              <w:rPr>
                <w:rFonts w:hint="eastAsia" w:ascii="Times New Roman" w:hAnsi="Times New Roman" w:cs="Times New Roman"/>
                <w:lang w:val="zh-CN"/>
              </w:rPr>
              <w:t>日</w:t>
            </w:r>
            <w:r>
              <w:rPr>
                <w:rFonts w:hint="eastAsia" w:ascii="Times New Roman" w:hAnsi="Times New Roman" w:cs="Times New Roman"/>
              </w:rPr>
              <w:t>09</w:t>
            </w:r>
            <w:r>
              <w:rPr>
                <w:rFonts w:hint="eastAsia" w:ascii="Times New Roman" w:hAnsi="Times New Roman" w:cs="Times New Roman"/>
                <w:lang w:val="zh-CN"/>
              </w:rPr>
              <w:t>时</w:t>
            </w:r>
            <w:r>
              <w:rPr>
                <w:rFonts w:hint="eastAsia" w:ascii="Times New Roman" w:hAnsi="Times New Roman" w:cs="Times New Roman"/>
              </w:rPr>
              <w:t>00</w:t>
            </w:r>
            <w:r>
              <w:rPr>
                <w:rFonts w:hint="eastAsia" w:ascii="Times New Roman" w:hAnsi="Times New Roman" w:cs="Times New Roman"/>
                <w:lang w:val="zh-CN"/>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717" w:hRule="atLeast"/>
          <w:jc w:val="center"/>
        </w:trPr>
        <w:tc>
          <w:tcPr>
            <w:tcW w:w="769" w:type="dxa"/>
            <w:noWrap/>
            <w:vAlign w:val="center"/>
          </w:tcPr>
          <w:p>
            <w:pPr>
              <w:pStyle w:val="18"/>
              <w:spacing w:line="360" w:lineRule="exact"/>
              <w:ind w:right="264"/>
              <w:jc w:val="center"/>
              <w:rPr>
                <w:rFonts w:cs="Courier New"/>
              </w:rPr>
            </w:pPr>
            <w:r>
              <w:rPr>
                <w:rFonts w:hint="eastAsia" w:cs="Courier New"/>
              </w:rPr>
              <w:t>16</w:t>
            </w:r>
          </w:p>
        </w:tc>
        <w:tc>
          <w:tcPr>
            <w:tcW w:w="2312" w:type="dxa"/>
            <w:noWrap/>
            <w:vAlign w:val="center"/>
          </w:tcPr>
          <w:p>
            <w:pPr>
              <w:pStyle w:val="18"/>
              <w:spacing w:line="360" w:lineRule="exact"/>
              <w:ind w:left="52"/>
              <w:jc w:val="center"/>
              <w:rPr>
                <w:lang w:val="zh-CN"/>
              </w:rPr>
            </w:pPr>
            <w:r>
              <w:rPr>
                <w:rFonts w:hint="eastAsia"/>
                <w:lang w:val="zh-CN"/>
              </w:rPr>
              <w:t>比选申请</w:t>
            </w:r>
            <w:r>
              <w:rPr>
                <w:lang w:val="zh-CN"/>
              </w:rPr>
              <w:t>文件</w:t>
            </w:r>
          </w:p>
          <w:p>
            <w:pPr>
              <w:pStyle w:val="18"/>
              <w:spacing w:line="360" w:lineRule="exact"/>
              <w:ind w:left="52"/>
              <w:jc w:val="center"/>
              <w:rPr>
                <w:lang w:val="zh-CN"/>
              </w:rPr>
            </w:pPr>
            <w:r>
              <w:rPr>
                <w:lang w:val="zh-CN"/>
              </w:rPr>
              <w:t>递交截止时间</w:t>
            </w:r>
          </w:p>
        </w:tc>
        <w:tc>
          <w:tcPr>
            <w:tcW w:w="7081" w:type="dxa"/>
            <w:noWrap/>
            <w:vAlign w:val="center"/>
          </w:tcPr>
          <w:p>
            <w:pPr>
              <w:pStyle w:val="18"/>
              <w:spacing w:line="360" w:lineRule="exact"/>
              <w:ind w:left="48" w:leftChars="23" w:firstLine="120" w:firstLineChars="50"/>
              <w:rPr>
                <w:rFonts w:ascii="Times New Roman" w:hAnsi="Times New Roman" w:cs="Times New Roman"/>
                <w:lang w:val="zh-CN"/>
              </w:rPr>
            </w:pPr>
            <w:r>
              <w:rPr>
                <w:rFonts w:hint="eastAsia" w:ascii="Times New Roman" w:hAnsi="Times New Roman" w:cs="Times New Roman"/>
                <w:lang w:val="zh-CN"/>
              </w:rPr>
              <w:t>20</w:t>
            </w:r>
            <w:r>
              <w:rPr>
                <w:rFonts w:hint="eastAsia" w:ascii="Times New Roman" w:hAnsi="Times New Roman" w:cs="Times New Roman"/>
              </w:rPr>
              <w:t>20</w:t>
            </w:r>
            <w:r>
              <w:rPr>
                <w:rFonts w:hint="eastAsia" w:ascii="Times New Roman" w:hAnsi="Times New Roman" w:cs="Times New Roman"/>
                <w:lang w:val="zh-CN"/>
              </w:rPr>
              <w:t>年</w:t>
            </w:r>
            <w:r>
              <w:rPr>
                <w:rFonts w:hint="eastAsia" w:ascii="Times New Roman" w:hAnsi="Times New Roman" w:cs="Times New Roman"/>
              </w:rPr>
              <w:t>0</w:t>
            </w:r>
            <w:r>
              <w:rPr>
                <w:rFonts w:hint="eastAsia" w:ascii="Times New Roman" w:hAnsi="Times New Roman" w:cs="Times New Roman"/>
                <w:lang w:val="en-US" w:eastAsia="zh-CN"/>
              </w:rPr>
              <w:t>9</w:t>
            </w:r>
            <w:r>
              <w:rPr>
                <w:rFonts w:hint="eastAsia" w:ascii="Times New Roman" w:hAnsi="Times New Roman" w:cs="Times New Roman"/>
                <w:lang w:val="zh-CN"/>
              </w:rPr>
              <w:t>月</w:t>
            </w:r>
            <w:r>
              <w:rPr>
                <w:rFonts w:hint="eastAsia" w:ascii="Times New Roman" w:hAnsi="Times New Roman" w:cs="Times New Roman"/>
                <w:lang w:val="en-US" w:eastAsia="zh-CN"/>
              </w:rPr>
              <w:t>11</w:t>
            </w:r>
            <w:r>
              <w:rPr>
                <w:rFonts w:hint="eastAsia" w:ascii="Times New Roman" w:hAnsi="Times New Roman" w:cs="Times New Roman"/>
                <w:lang w:val="zh-CN"/>
              </w:rPr>
              <w:t>日</w:t>
            </w:r>
            <w:r>
              <w:rPr>
                <w:rFonts w:hint="eastAsia" w:ascii="Times New Roman" w:hAnsi="Times New Roman" w:cs="Times New Roman"/>
              </w:rPr>
              <w:t>09</w:t>
            </w:r>
            <w:r>
              <w:rPr>
                <w:rFonts w:hint="eastAsia" w:ascii="Times New Roman" w:hAnsi="Times New Roman" w:cs="Times New Roman"/>
                <w:lang w:val="zh-CN"/>
              </w:rPr>
              <w:t>时</w:t>
            </w:r>
            <w:r>
              <w:rPr>
                <w:rFonts w:hint="eastAsia" w:ascii="Times New Roman" w:hAnsi="Times New Roman" w:cs="Times New Roman"/>
              </w:rPr>
              <w:t>00</w:t>
            </w:r>
            <w:r>
              <w:rPr>
                <w:rFonts w:hint="eastAsia" w:ascii="Times New Roman" w:hAnsi="Times New Roman" w:cs="Times New Roman"/>
                <w:lang w:val="zh-CN"/>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64"/>
              <w:jc w:val="center"/>
              <w:rPr>
                <w:rFonts w:cs="Courier New"/>
              </w:rPr>
            </w:pPr>
            <w:r>
              <w:rPr>
                <w:rFonts w:hint="eastAsia" w:cs="Courier New"/>
              </w:rPr>
              <w:t>17</w:t>
            </w:r>
          </w:p>
        </w:tc>
        <w:tc>
          <w:tcPr>
            <w:tcW w:w="2312" w:type="dxa"/>
            <w:noWrap/>
            <w:vAlign w:val="center"/>
          </w:tcPr>
          <w:p>
            <w:pPr>
              <w:pStyle w:val="18"/>
              <w:spacing w:line="260" w:lineRule="exact"/>
              <w:ind w:left="34"/>
              <w:jc w:val="center"/>
              <w:rPr>
                <w:lang w:val="zh-CN"/>
              </w:rPr>
            </w:pPr>
            <w:r>
              <w:rPr>
                <w:rFonts w:hint="eastAsia"/>
                <w:lang w:val="zh-CN"/>
              </w:rPr>
              <w:t>比选有效期</w:t>
            </w:r>
          </w:p>
          <w:p>
            <w:pPr>
              <w:pStyle w:val="18"/>
              <w:spacing w:line="260" w:lineRule="exact"/>
              <w:ind w:left="34"/>
              <w:jc w:val="center"/>
              <w:rPr>
                <w:lang w:val="zh-CN"/>
              </w:rPr>
            </w:pPr>
            <w:r>
              <w:rPr>
                <w:rFonts w:hint="eastAsia"/>
                <w:b/>
                <w:bCs/>
              </w:rPr>
              <w:t>（实质性要求）</w:t>
            </w:r>
          </w:p>
        </w:tc>
        <w:tc>
          <w:tcPr>
            <w:tcW w:w="7081" w:type="dxa"/>
            <w:noWrap/>
            <w:vAlign w:val="center"/>
          </w:tcPr>
          <w:p>
            <w:pPr>
              <w:widowControl/>
              <w:ind w:firstLine="240" w:firstLineChars="100"/>
              <w:jc w:val="left"/>
              <w:rPr>
                <w:b/>
                <w:sz w:val="24"/>
                <w:lang w:val="zh-CN"/>
              </w:rPr>
            </w:pPr>
            <w:r>
              <w:rPr>
                <w:rFonts w:hint="eastAsia" w:ascii="宋体" w:hAnsi="宋体" w:cs="宋体"/>
                <w:kern w:val="0"/>
                <w:sz w:val="24"/>
              </w:rPr>
              <w:t>递交比选申请文件截止之日60日。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495" w:hRule="atLeast"/>
          <w:jc w:val="center"/>
        </w:trPr>
        <w:tc>
          <w:tcPr>
            <w:tcW w:w="769" w:type="dxa"/>
            <w:noWrap/>
            <w:vAlign w:val="center"/>
          </w:tcPr>
          <w:p>
            <w:pPr>
              <w:pStyle w:val="18"/>
              <w:spacing w:line="360" w:lineRule="exact"/>
              <w:ind w:right="264"/>
              <w:jc w:val="center"/>
              <w:rPr>
                <w:rFonts w:cs="Courier New"/>
              </w:rPr>
            </w:pPr>
            <w:r>
              <w:rPr>
                <w:rFonts w:hint="eastAsia" w:cs="Courier New"/>
              </w:rPr>
              <w:t>18</w:t>
            </w:r>
          </w:p>
        </w:tc>
        <w:tc>
          <w:tcPr>
            <w:tcW w:w="2312" w:type="dxa"/>
            <w:noWrap/>
            <w:vAlign w:val="center"/>
          </w:tcPr>
          <w:p>
            <w:pPr>
              <w:pStyle w:val="18"/>
              <w:spacing w:line="360" w:lineRule="exact"/>
              <w:ind w:right="230"/>
              <w:jc w:val="center"/>
              <w:rPr>
                <w:rFonts w:cs="Courier New"/>
              </w:rPr>
            </w:pPr>
            <w:r>
              <w:rPr>
                <w:rFonts w:hint="eastAsia" w:cs="Courier New"/>
              </w:rPr>
              <w:t>比选保证金</w:t>
            </w:r>
          </w:p>
        </w:tc>
        <w:tc>
          <w:tcPr>
            <w:tcW w:w="7081" w:type="dxa"/>
            <w:noWrap/>
            <w:vAlign w:val="center"/>
          </w:tcPr>
          <w:p>
            <w:pPr>
              <w:pStyle w:val="18"/>
              <w:spacing w:line="360" w:lineRule="exact"/>
              <w:ind w:firstLine="240" w:firstLineChars="100"/>
              <w:jc w:val="both"/>
            </w:pPr>
            <w:r>
              <w:rPr>
                <w:rFonts w:hint="eastAsia"/>
              </w:rPr>
              <w:t>本项目不收取比选保证金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64"/>
              <w:jc w:val="center"/>
              <w:rPr>
                <w:rFonts w:cs="Courier New"/>
              </w:rPr>
            </w:pPr>
            <w:r>
              <w:rPr>
                <w:rFonts w:hint="eastAsia" w:cs="Courier New"/>
              </w:rPr>
              <w:t>19</w:t>
            </w:r>
          </w:p>
        </w:tc>
        <w:tc>
          <w:tcPr>
            <w:tcW w:w="2312" w:type="dxa"/>
            <w:noWrap/>
            <w:vAlign w:val="center"/>
          </w:tcPr>
          <w:p>
            <w:pPr>
              <w:pStyle w:val="18"/>
              <w:spacing w:line="360" w:lineRule="exact"/>
              <w:ind w:right="28"/>
              <w:jc w:val="center"/>
              <w:rPr>
                <w:lang w:val="zh-CN"/>
              </w:rPr>
            </w:pPr>
            <w:r>
              <w:rPr>
                <w:rFonts w:hint="eastAsia"/>
                <w:lang w:val="zh-CN"/>
              </w:rPr>
              <w:t>备选比选申请方案和报价</w:t>
            </w:r>
          </w:p>
        </w:tc>
        <w:tc>
          <w:tcPr>
            <w:tcW w:w="7081" w:type="dxa"/>
            <w:noWrap/>
            <w:vAlign w:val="center"/>
          </w:tcPr>
          <w:p>
            <w:pPr>
              <w:pStyle w:val="18"/>
              <w:spacing w:line="360" w:lineRule="exact"/>
              <w:ind w:firstLine="240" w:firstLineChars="100"/>
              <w:rPr>
                <w:lang w:val="zh-CN"/>
              </w:rPr>
            </w:pPr>
            <w:r>
              <w:rPr>
                <w:rFonts w:hint="eastAsia"/>
                <w:lang w:val="zh-CN"/>
              </w:rPr>
              <w:t>不接受备选比选申请方案和多个报价。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64"/>
              <w:jc w:val="center"/>
            </w:pPr>
            <w:r>
              <w:rPr>
                <w:rFonts w:hint="eastAsia"/>
              </w:rPr>
              <w:t>20</w:t>
            </w:r>
          </w:p>
        </w:tc>
        <w:tc>
          <w:tcPr>
            <w:tcW w:w="2312" w:type="dxa"/>
            <w:noWrap/>
            <w:vAlign w:val="center"/>
          </w:tcPr>
          <w:p>
            <w:pPr>
              <w:pStyle w:val="18"/>
              <w:spacing w:line="360" w:lineRule="exact"/>
              <w:jc w:val="center"/>
              <w:rPr>
                <w:lang w:val="zh-CN"/>
              </w:rPr>
            </w:pPr>
            <w:r>
              <w:rPr>
                <w:rFonts w:hint="eastAsia"/>
                <w:lang w:val="zh-CN"/>
              </w:rPr>
              <w:t>递交比选</w:t>
            </w:r>
          </w:p>
          <w:p>
            <w:pPr>
              <w:pStyle w:val="18"/>
              <w:spacing w:line="360" w:lineRule="exact"/>
              <w:jc w:val="center"/>
              <w:rPr>
                <w:lang w:val="zh-CN"/>
              </w:rPr>
            </w:pPr>
            <w:r>
              <w:rPr>
                <w:rFonts w:hint="eastAsia"/>
                <w:lang w:val="zh-CN"/>
              </w:rPr>
              <w:t>申请文件地点</w:t>
            </w:r>
          </w:p>
        </w:tc>
        <w:tc>
          <w:tcPr>
            <w:tcW w:w="7081" w:type="dxa"/>
            <w:noWrap/>
            <w:vAlign w:val="center"/>
          </w:tcPr>
          <w:p>
            <w:pPr>
              <w:spacing w:after="50" w:line="420" w:lineRule="exact"/>
              <w:ind w:firstLine="240" w:firstLineChars="100"/>
              <w:rPr>
                <w:sz w:val="24"/>
                <w:lang w:val="zh-CN"/>
              </w:rPr>
            </w:pPr>
            <w:r>
              <w:rPr>
                <w:rFonts w:hint="eastAsia" w:ascii="宋体" w:hAnsi="宋体" w:cs="宋体"/>
                <w:kern w:val="0"/>
                <w:sz w:val="24"/>
                <w:lang w:val="zh-CN"/>
              </w:rPr>
              <w:t>攀枝花市东区鸿海巷13号1栋1楼（富麒家园内）。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769" w:type="dxa"/>
            <w:noWrap/>
            <w:vAlign w:val="center"/>
          </w:tcPr>
          <w:p>
            <w:pPr>
              <w:pStyle w:val="18"/>
              <w:spacing w:line="360" w:lineRule="exact"/>
              <w:ind w:right="264"/>
              <w:jc w:val="center"/>
              <w:rPr>
                <w:rFonts w:cs="Courier New"/>
              </w:rPr>
            </w:pPr>
            <w:r>
              <w:rPr>
                <w:rFonts w:hint="eastAsia" w:cs="Courier New"/>
              </w:rPr>
              <w:t>21</w:t>
            </w:r>
          </w:p>
        </w:tc>
        <w:tc>
          <w:tcPr>
            <w:tcW w:w="2312" w:type="dxa"/>
            <w:noWrap/>
            <w:vAlign w:val="center"/>
          </w:tcPr>
          <w:p>
            <w:pPr>
              <w:pStyle w:val="18"/>
              <w:spacing w:line="360" w:lineRule="exact"/>
              <w:jc w:val="center"/>
              <w:rPr>
                <w:rFonts w:cs="Times New Roman"/>
                <w:lang w:val="zh-CN"/>
              </w:rPr>
            </w:pPr>
            <w:r>
              <w:rPr>
                <w:rFonts w:hint="eastAsia" w:cs="Times New Roman"/>
                <w:lang w:val="zh-CN"/>
              </w:rPr>
              <w:t>比选申请人质询</w:t>
            </w:r>
          </w:p>
        </w:tc>
        <w:tc>
          <w:tcPr>
            <w:tcW w:w="7081" w:type="dxa"/>
            <w:noWrap/>
            <w:vAlign w:val="center"/>
          </w:tcPr>
          <w:p>
            <w:pPr>
              <w:pStyle w:val="18"/>
              <w:spacing w:line="360" w:lineRule="exact"/>
              <w:ind w:firstLine="240" w:firstLineChars="100"/>
              <w:rPr>
                <w:rFonts w:cs="Times New Roman"/>
                <w:lang w:val="zh-CN"/>
              </w:rPr>
            </w:pPr>
            <w:r>
              <w:rPr>
                <w:rFonts w:hint="eastAsia" w:cs="Times New Roman"/>
                <w:lang w:val="zh-CN"/>
              </w:rPr>
              <w:t>自招标文件发售起2个工作日内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trHeight w:val="1706" w:hRule="atLeast"/>
          <w:jc w:val="center"/>
        </w:trPr>
        <w:tc>
          <w:tcPr>
            <w:tcW w:w="769" w:type="dxa"/>
            <w:noWrap/>
            <w:vAlign w:val="center"/>
          </w:tcPr>
          <w:p>
            <w:pPr>
              <w:pStyle w:val="18"/>
              <w:spacing w:line="360" w:lineRule="exact"/>
              <w:ind w:right="264"/>
              <w:jc w:val="center"/>
              <w:rPr>
                <w:rFonts w:cs="Courier New"/>
              </w:rPr>
            </w:pPr>
            <w:r>
              <w:rPr>
                <w:rFonts w:hint="eastAsia" w:cs="Courier New"/>
              </w:rPr>
              <w:t>22</w:t>
            </w:r>
          </w:p>
        </w:tc>
        <w:tc>
          <w:tcPr>
            <w:tcW w:w="2312" w:type="dxa"/>
            <w:noWrap/>
            <w:vAlign w:val="center"/>
          </w:tcPr>
          <w:p>
            <w:pPr>
              <w:pStyle w:val="18"/>
              <w:ind w:left="38"/>
              <w:jc w:val="center"/>
              <w:rPr>
                <w:lang w:val="zh-CN"/>
              </w:rPr>
            </w:pPr>
            <w:r>
              <w:rPr>
                <w:rFonts w:hint="eastAsia"/>
                <w:lang w:val="zh-CN"/>
              </w:rPr>
              <w:t>成交通知书领取</w:t>
            </w:r>
          </w:p>
        </w:tc>
        <w:tc>
          <w:tcPr>
            <w:tcW w:w="7081" w:type="dxa"/>
            <w:noWrap/>
            <w:vAlign w:val="center"/>
          </w:tcPr>
          <w:p>
            <w:pPr>
              <w:pStyle w:val="18"/>
              <w:ind w:firstLine="240" w:firstLineChars="100"/>
              <w:jc w:val="both"/>
              <w:rPr>
                <w:lang w:val="zh-CN"/>
              </w:rPr>
            </w:pPr>
            <w:r>
              <w:rPr>
                <w:rFonts w:hint="eastAsia"/>
                <w:lang w:val="zh-CN"/>
              </w:rPr>
              <w:t>采购结果公告在</w:t>
            </w:r>
            <w:r>
              <w:rPr>
                <w:rFonts w:hint="eastAsia"/>
              </w:rPr>
              <w:t>攀枝花市国有投资（集团）有限责任公司网站</w:t>
            </w:r>
            <w:r>
              <w:rPr>
                <w:rFonts w:hint="eastAsia"/>
                <w:lang w:val="zh-CN"/>
              </w:rPr>
              <w:t>上发布后，请成交比选申请人凭有效身份证明证件（单位介绍信，注明办理成交通知书领取事宜，并带领取人身份证原件）到成都长源工程咨询有限公司领取成交通知书。</w:t>
            </w:r>
          </w:p>
        </w:tc>
      </w:tr>
    </w:tbl>
    <w:p>
      <w:pPr>
        <w:pStyle w:val="4"/>
        <w:spacing w:line="400" w:lineRule="exact"/>
        <w:jc w:val="center"/>
        <w:rPr>
          <w:sz w:val="28"/>
        </w:rPr>
      </w:pPr>
    </w:p>
    <w:p>
      <w:pPr>
        <w:pStyle w:val="4"/>
        <w:spacing w:line="400" w:lineRule="exact"/>
        <w:jc w:val="center"/>
        <w:rPr>
          <w:rFonts w:ascii="黑体"/>
          <w:bCs w:val="0"/>
        </w:rPr>
      </w:pPr>
      <w:r>
        <w:rPr>
          <w:sz w:val="28"/>
        </w:rPr>
        <w:br w:type="page"/>
      </w:r>
      <w:bookmarkStart w:id="41" w:name="_Toc1386"/>
      <w:bookmarkStart w:id="42" w:name="_Toc5819"/>
      <w:r>
        <w:rPr>
          <w:rFonts w:hint="eastAsia"/>
          <w:sz w:val="28"/>
        </w:rPr>
        <w:t>二、总  则</w:t>
      </w:r>
      <w:bookmarkEnd w:id="41"/>
      <w:bookmarkEnd w:id="42"/>
    </w:p>
    <w:p>
      <w:pPr>
        <w:pStyle w:val="5"/>
        <w:spacing w:line="400" w:lineRule="exact"/>
        <w:rPr>
          <w:rFonts w:ascii="宋体" w:hAnsi="宋体"/>
          <w:sz w:val="24"/>
        </w:rPr>
      </w:pPr>
      <w:bookmarkStart w:id="43" w:name="_Toc18736"/>
      <w:bookmarkStart w:id="44" w:name="_Toc62"/>
      <w:bookmarkStart w:id="45" w:name="_Toc183682342"/>
      <w:bookmarkStart w:id="46" w:name="_Toc361753936"/>
      <w:bookmarkStart w:id="47" w:name="_Toc183582205"/>
      <w:bookmarkStart w:id="48" w:name="_Toc381260403"/>
      <w:bookmarkStart w:id="49" w:name="_Toc361754248"/>
      <w:bookmarkStart w:id="50" w:name="_Toc277"/>
      <w:bookmarkStart w:id="51" w:name="_Toc217446034"/>
      <w:r>
        <w:rPr>
          <w:rFonts w:hint="eastAsia" w:ascii="宋体" w:hAnsi="宋体"/>
          <w:sz w:val="24"/>
        </w:rPr>
        <w:t>1</w:t>
      </w:r>
      <w:r>
        <w:rPr>
          <w:rFonts w:ascii="宋体" w:hAnsi="宋体"/>
          <w:sz w:val="24"/>
        </w:rPr>
        <w:t>.</w:t>
      </w:r>
      <w:r>
        <w:rPr>
          <w:rFonts w:hint="eastAsia" w:ascii="宋体" w:hAnsi="宋体"/>
          <w:sz w:val="24"/>
          <w:szCs w:val="24"/>
        </w:rPr>
        <w:t>适用范围</w:t>
      </w:r>
      <w:bookmarkEnd w:id="43"/>
      <w:bookmarkEnd w:id="44"/>
    </w:p>
    <w:p>
      <w:pPr>
        <w:tabs>
          <w:tab w:val="left" w:pos="7665"/>
        </w:tabs>
        <w:spacing w:line="400" w:lineRule="exact"/>
        <w:ind w:firstLine="480" w:firstLineChars="200"/>
        <w:rPr>
          <w:rFonts w:ascii="宋体" w:hAnsi="宋体"/>
          <w:sz w:val="24"/>
        </w:rPr>
      </w:pPr>
      <w:r>
        <w:rPr>
          <w:rFonts w:hint="eastAsia" w:ascii="宋体" w:hAnsi="宋体"/>
          <w:sz w:val="24"/>
        </w:rPr>
        <w:t>本比选文件仅适用于本次比选采购项目。</w:t>
      </w:r>
    </w:p>
    <w:p>
      <w:pPr>
        <w:pStyle w:val="5"/>
        <w:spacing w:line="400" w:lineRule="exact"/>
        <w:rPr>
          <w:rFonts w:ascii="宋体" w:hAnsi="宋体"/>
          <w:sz w:val="24"/>
        </w:rPr>
      </w:pPr>
      <w:bookmarkStart w:id="52" w:name="_Toc2929"/>
      <w:bookmarkStart w:id="53" w:name="_Toc16652"/>
      <w:r>
        <w:rPr>
          <w:rFonts w:ascii="宋体" w:hAnsi="宋体"/>
          <w:sz w:val="24"/>
        </w:rPr>
        <w:t>2.</w:t>
      </w:r>
      <w:r>
        <w:rPr>
          <w:rFonts w:hint="eastAsia" w:ascii="宋体" w:hAnsi="宋体"/>
          <w:sz w:val="24"/>
        </w:rPr>
        <w:t xml:space="preserve"> 有关定义</w:t>
      </w:r>
      <w:bookmarkEnd w:id="52"/>
      <w:bookmarkEnd w:id="53"/>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 本次比选的采购人是攀枝花三线文化有限公司。</w:t>
      </w:r>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 “比选代理机构”系指根据采购人的委托依法办理比选事宜的采购机构。本次比选的比选代理机构是成都长源工程咨询有限公司（简称“比选人”）。</w:t>
      </w:r>
    </w:p>
    <w:p>
      <w:pPr>
        <w:tabs>
          <w:tab w:val="left" w:pos="7665"/>
        </w:tabs>
        <w:spacing w:line="400" w:lineRule="exact"/>
        <w:ind w:firstLine="480" w:firstLineChars="200"/>
        <w:rPr>
          <w:rFonts w:ascii="宋体" w:hAnsi="宋体"/>
          <w:sz w:val="24"/>
        </w:rPr>
      </w:pPr>
      <w:r>
        <w:rPr>
          <w:rFonts w:hint="eastAsia" w:ascii="宋体" w:hAnsi="宋体"/>
          <w:sz w:val="24"/>
        </w:rPr>
        <w:t>2.3 “比选采购单位”系指“采购人”和“比选代理机构”的统称。</w:t>
      </w:r>
    </w:p>
    <w:p>
      <w:pPr>
        <w:tabs>
          <w:tab w:val="left" w:pos="7665"/>
        </w:tabs>
        <w:spacing w:line="40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 “比选申请人”系指购买了比选文件拟参加比选和向采购人提供相应服务的比选申请人。</w:t>
      </w:r>
    </w:p>
    <w:p>
      <w:pPr>
        <w:pStyle w:val="2"/>
      </w:pPr>
    </w:p>
    <w:p>
      <w:pPr>
        <w:pStyle w:val="5"/>
        <w:spacing w:line="400" w:lineRule="exact"/>
        <w:rPr>
          <w:rFonts w:ascii="宋体" w:hAnsi="宋体"/>
          <w:sz w:val="24"/>
        </w:rPr>
      </w:pPr>
      <w:bookmarkStart w:id="54" w:name="_Toc15842"/>
      <w:bookmarkStart w:id="55" w:name="_Toc24962"/>
      <w:r>
        <w:rPr>
          <w:rFonts w:ascii="宋体" w:hAnsi="宋体"/>
          <w:sz w:val="24"/>
        </w:rPr>
        <w:t>3.</w:t>
      </w:r>
      <w:r>
        <w:rPr>
          <w:rFonts w:hint="eastAsia" w:ascii="宋体" w:hAnsi="宋体"/>
          <w:sz w:val="24"/>
        </w:rPr>
        <w:t xml:space="preserve"> 合格的比选申请人</w:t>
      </w:r>
      <w:bookmarkEnd w:id="54"/>
      <w:r>
        <w:rPr>
          <w:rFonts w:hint="eastAsia" w:ascii="宋体" w:hAnsi="宋体"/>
          <w:sz w:val="24"/>
        </w:rPr>
        <w:t>（实质性要求）</w:t>
      </w:r>
      <w:bookmarkEnd w:id="55"/>
    </w:p>
    <w:p>
      <w:pPr>
        <w:tabs>
          <w:tab w:val="left" w:pos="7665"/>
        </w:tabs>
        <w:spacing w:line="400" w:lineRule="exact"/>
        <w:rPr>
          <w:rFonts w:ascii="宋体" w:hAnsi="宋体"/>
          <w:sz w:val="24"/>
        </w:rPr>
      </w:pPr>
      <w:r>
        <w:rPr>
          <w:rFonts w:hint="eastAsia" w:ascii="宋体" w:hAnsi="宋体"/>
          <w:sz w:val="24"/>
        </w:rPr>
        <w:t>合格的比选申请人应具备以下条件：</w:t>
      </w:r>
    </w:p>
    <w:p>
      <w:pPr>
        <w:tabs>
          <w:tab w:val="left" w:pos="7665"/>
        </w:tabs>
        <w:spacing w:line="400" w:lineRule="exact"/>
        <w:ind w:firstLine="480" w:firstLineChars="200"/>
        <w:rPr>
          <w:rFonts w:ascii="宋体" w:hAnsi="宋体"/>
          <w:spacing w:val="-4"/>
          <w:sz w:val="24"/>
        </w:rPr>
      </w:pPr>
      <w:r>
        <w:rPr>
          <w:rFonts w:hint="eastAsia" w:ascii="宋体" w:hAnsi="宋体"/>
          <w:sz w:val="24"/>
        </w:rPr>
        <w:t>（1）本比选文件“比选邀请”第</w:t>
      </w:r>
      <w:r>
        <w:rPr>
          <w:rFonts w:hint="eastAsia" w:ascii="宋体" w:hAnsi="宋体"/>
          <w:b/>
          <w:sz w:val="24"/>
        </w:rPr>
        <w:t>三</w:t>
      </w:r>
      <w:r>
        <w:rPr>
          <w:rFonts w:hint="eastAsia" w:ascii="宋体" w:hAnsi="宋体"/>
          <w:sz w:val="24"/>
        </w:rPr>
        <w:t>条规定的条件</w:t>
      </w:r>
      <w:r>
        <w:rPr>
          <w:rFonts w:hint="eastAsia" w:ascii="宋体" w:hAnsi="宋体"/>
          <w:spacing w:val="-4"/>
          <w:sz w:val="24"/>
        </w:rPr>
        <w:t>；</w:t>
      </w:r>
    </w:p>
    <w:p>
      <w:pPr>
        <w:tabs>
          <w:tab w:val="left" w:pos="7665"/>
        </w:tabs>
        <w:spacing w:line="400" w:lineRule="exact"/>
        <w:ind w:firstLine="480" w:firstLineChars="200"/>
        <w:rPr>
          <w:rFonts w:ascii="宋体" w:hAnsi="宋体"/>
          <w:sz w:val="24"/>
        </w:rPr>
      </w:pPr>
      <w:r>
        <w:rPr>
          <w:rFonts w:hint="eastAsia" w:ascii="宋体" w:hAnsi="宋体"/>
          <w:sz w:val="24"/>
        </w:rPr>
        <w:t>（2）遵守国家有关的法律、法规、规章和其他政策制度；</w:t>
      </w:r>
    </w:p>
    <w:p>
      <w:pPr>
        <w:widowControl/>
        <w:spacing w:line="440" w:lineRule="exact"/>
        <w:ind w:firstLine="480" w:firstLineChars="200"/>
        <w:jc w:val="left"/>
        <w:rPr>
          <w:rFonts w:ascii="宋体" w:hAnsi="宋体"/>
          <w:kern w:val="0"/>
          <w:sz w:val="24"/>
        </w:rPr>
      </w:pPr>
      <w:r>
        <w:rPr>
          <w:rFonts w:hint="eastAsia" w:ascii="宋体" w:hAnsi="宋体"/>
          <w:kern w:val="0"/>
          <w:sz w:val="24"/>
        </w:rPr>
        <w:t>（3）不属于本</w:t>
      </w:r>
      <w:r>
        <w:rPr>
          <w:rFonts w:hint="eastAsia" w:ascii="宋体" w:hAnsi="宋体"/>
          <w:b/>
          <w:kern w:val="0"/>
          <w:sz w:val="24"/>
        </w:rPr>
        <w:t>节</w:t>
      </w:r>
      <w:r>
        <w:rPr>
          <w:rFonts w:hint="eastAsia" w:ascii="宋体" w:hAnsi="宋体"/>
          <w:kern w:val="0"/>
          <w:sz w:val="24"/>
        </w:rPr>
        <w:t>第5条禁止参加本项目采购活动的申请人；</w:t>
      </w:r>
    </w:p>
    <w:p>
      <w:pPr>
        <w:widowControl/>
        <w:spacing w:line="440" w:lineRule="exact"/>
        <w:ind w:firstLine="480" w:firstLineChars="200"/>
        <w:jc w:val="left"/>
        <w:rPr>
          <w:rFonts w:ascii="宋体" w:hAnsi="宋体"/>
          <w:kern w:val="0"/>
          <w:sz w:val="24"/>
        </w:rPr>
      </w:pPr>
      <w:r>
        <w:rPr>
          <w:rFonts w:hint="eastAsia" w:ascii="宋体" w:hAnsi="宋体"/>
          <w:kern w:val="0"/>
          <w:sz w:val="24"/>
        </w:rPr>
        <w:t>（4）申请人在参加政府采购活动前，未被纳入法院、工商行政管理部门、税务部门、银行认定的失信名单且在有效期内，或者在前三年政府采购合同履约过程中及其他经营活动履约过程中未依法履约被有关部门处罚（处理）。</w:t>
      </w:r>
    </w:p>
    <w:p>
      <w:pPr>
        <w:pStyle w:val="2"/>
      </w:pPr>
    </w:p>
    <w:p>
      <w:pPr>
        <w:pStyle w:val="5"/>
        <w:spacing w:line="400" w:lineRule="exact"/>
        <w:rPr>
          <w:rFonts w:ascii="宋体" w:hAnsi="宋体"/>
          <w:sz w:val="24"/>
        </w:rPr>
      </w:pPr>
      <w:bookmarkStart w:id="56" w:name="_Toc19394"/>
      <w:bookmarkStart w:id="57" w:name="_Toc5780"/>
      <w:r>
        <w:rPr>
          <w:rFonts w:hint="eastAsia" w:ascii="宋体" w:hAnsi="宋体"/>
          <w:sz w:val="24"/>
        </w:rPr>
        <w:t>4. 比选费用</w:t>
      </w:r>
      <w:bookmarkEnd w:id="56"/>
      <w:bookmarkEnd w:id="57"/>
    </w:p>
    <w:p>
      <w:pPr>
        <w:tabs>
          <w:tab w:val="left" w:pos="7665"/>
        </w:tabs>
        <w:spacing w:line="400" w:lineRule="exact"/>
        <w:ind w:firstLine="480"/>
        <w:rPr>
          <w:rFonts w:ascii="宋体" w:hAnsi="宋体"/>
          <w:sz w:val="24"/>
        </w:rPr>
      </w:pPr>
      <w:r>
        <w:rPr>
          <w:rFonts w:hint="eastAsia" w:ascii="宋体" w:hAnsi="宋体"/>
          <w:sz w:val="24"/>
        </w:rPr>
        <w:t>比选申请人参加比选的有关费用由比选申请人自行承担。</w:t>
      </w:r>
    </w:p>
    <w:p>
      <w:pPr>
        <w:pStyle w:val="5"/>
        <w:spacing w:line="400" w:lineRule="exact"/>
        <w:rPr>
          <w:rFonts w:ascii="宋体" w:hAnsi="宋体"/>
          <w:sz w:val="24"/>
        </w:rPr>
      </w:pPr>
      <w:bookmarkStart w:id="58" w:name="_Toc14353"/>
      <w:bookmarkStart w:id="59" w:name="_Toc16088"/>
      <w:r>
        <w:rPr>
          <w:rFonts w:hint="eastAsia" w:ascii="宋体" w:hAnsi="宋体"/>
          <w:sz w:val="24"/>
        </w:rPr>
        <w:t>5. 充分、公平竞争保障措施</w:t>
      </w:r>
      <w:bookmarkEnd w:id="58"/>
      <w:r>
        <w:rPr>
          <w:rFonts w:hint="eastAsia" w:ascii="宋体" w:hAnsi="宋体"/>
          <w:sz w:val="24"/>
        </w:rPr>
        <w:t>（实质性要求）</w:t>
      </w:r>
      <w:bookmarkEnd w:id="59"/>
    </w:p>
    <w:p>
      <w:pPr>
        <w:pStyle w:val="20"/>
        <w:spacing w:line="400" w:lineRule="exact"/>
        <w:ind w:left="1" w:firstLine="480" w:firstLineChars="200"/>
        <w:rPr>
          <w:rFonts w:hAnsi="宋体" w:cs="宋体"/>
          <w:sz w:val="28"/>
          <w:szCs w:val="28"/>
        </w:rPr>
      </w:pPr>
      <w:r>
        <w:rPr>
          <w:rFonts w:hint="eastAsia" w:hAnsi="宋体" w:cs="宋体"/>
          <w:sz w:val="24"/>
        </w:rPr>
        <w:t>5.1利害关系比选申请人处理。单位负责人为同一人或者存在直接控股、管理关系的不同比选申请人不得参加同一合同项下的采购活动。采购项目实行资格预审的，单位负责人为同一人或者存在直接控股、管理关系的不同比选申请人可以参加资格预审，但只能由比选申请人确定其中一家符合条件的比选申请人参加后续的采购活动，否则，其比选申请文件作为无效处理。</w:t>
      </w:r>
    </w:p>
    <w:p>
      <w:pPr>
        <w:pStyle w:val="20"/>
        <w:spacing w:line="400" w:lineRule="exact"/>
        <w:ind w:left="1" w:firstLine="480" w:firstLineChars="200"/>
        <w:rPr>
          <w:rFonts w:hAnsi="宋体" w:cs="宋体"/>
          <w:sz w:val="24"/>
        </w:rPr>
      </w:pPr>
      <w:r>
        <w:rPr>
          <w:rFonts w:hint="eastAsia" w:hAnsi="宋体" w:cs="宋体"/>
          <w:sz w:val="24"/>
        </w:rPr>
        <w:t>5.2利害关系授权代表处理。两家以上的比选申请人不得在同一合同项下的采购项目中，委托同一个自然人、同一家庭的人员、同一单位的人员作为其授权代表，否则，其比选申请文件作为无效处理。</w:t>
      </w:r>
    </w:p>
    <w:p>
      <w:pPr>
        <w:pStyle w:val="20"/>
        <w:spacing w:line="400" w:lineRule="exact"/>
        <w:ind w:left="1" w:firstLine="480" w:firstLineChars="200"/>
        <w:rPr>
          <w:rFonts w:hAnsi="宋体" w:cs="宋体"/>
          <w:sz w:val="24"/>
        </w:rPr>
      </w:pPr>
      <w:r>
        <w:rPr>
          <w:rFonts w:hint="eastAsia" w:hAnsi="宋体" w:cs="宋体"/>
          <w:sz w:val="24"/>
        </w:rPr>
        <w:t>5.3前期参与比选申请人处理。为采购项目提供整体设计、规范编制或者项目管理、监理、检测等服务的比选申请人，不得再参加该采购项目的其他采购活动。比选申请人为采购人、采购代理机构在确定采购需求、编制采购文件过程中提供咨询论证，其提供的咨询论证意见成为采购文件中规定的比选申请人资格条件、技术服务商务要求、评审因素和标准、采购合同等实质性内容条款的，视同为采购项目提供规范编制。</w:t>
      </w:r>
    </w:p>
    <w:p>
      <w:pPr>
        <w:pStyle w:val="20"/>
        <w:spacing w:line="400" w:lineRule="exact"/>
        <w:ind w:left="1" w:firstLine="480" w:firstLineChars="200"/>
        <w:rPr>
          <w:rFonts w:hAnsi="宋体" w:cs="宋体"/>
          <w:sz w:val="24"/>
        </w:rPr>
      </w:pPr>
      <w:r>
        <w:rPr>
          <w:rFonts w:hint="eastAsia" w:hAnsi="宋体" w:cs="宋体"/>
          <w:sz w:val="24"/>
        </w:rPr>
        <w:t>5.4比选申请人实际控制人或者中高级管理人员，同时是采购代理机构工作人员，不得参与本项目采购活动。</w:t>
      </w:r>
    </w:p>
    <w:p>
      <w:pPr>
        <w:spacing w:line="400" w:lineRule="exact"/>
        <w:ind w:firstLine="480" w:firstLineChars="200"/>
        <w:rPr>
          <w:rFonts w:ascii="宋体" w:hAnsi="宋体" w:cs="宋体"/>
          <w:sz w:val="24"/>
        </w:rPr>
      </w:pPr>
      <w:r>
        <w:rPr>
          <w:rFonts w:hint="eastAsia" w:ascii="宋体" w:hAnsi="宋体" w:cs="宋体"/>
          <w:sz w:val="24"/>
        </w:rPr>
        <w:t>5.5同一母公司的两家以上的子公司只能组成联合体参加本项目同一合同项下的采购活动，不得以不同比选申请人身份同时参加本项目同一合同项下的采购活动。</w:t>
      </w:r>
    </w:p>
    <w:p>
      <w:pPr>
        <w:spacing w:line="400" w:lineRule="exact"/>
        <w:ind w:firstLine="480" w:firstLineChars="200"/>
        <w:rPr>
          <w:rFonts w:ascii="宋体" w:hAnsi="宋体" w:cs="宋体"/>
          <w:sz w:val="24"/>
        </w:rPr>
      </w:pPr>
      <w:r>
        <w:rPr>
          <w:rFonts w:hint="eastAsia" w:ascii="宋体" w:hAnsi="宋体" w:cs="宋体"/>
          <w:sz w:val="24"/>
        </w:rPr>
        <w:t>5.6比选申请人与采购代理机构存在关联关系，或者是采购代理机构的母公司或子公司，不得参加本项目采购活动。</w:t>
      </w:r>
    </w:p>
    <w:p>
      <w:pPr>
        <w:pStyle w:val="20"/>
        <w:spacing w:line="400" w:lineRule="exact"/>
        <w:ind w:left="1" w:firstLine="480" w:firstLineChars="200"/>
        <w:rPr>
          <w:rFonts w:hAnsi="宋体" w:cs="宋体"/>
          <w:sz w:val="24"/>
        </w:rPr>
      </w:pPr>
      <w:r>
        <w:rPr>
          <w:rFonts w:hint="eastAsia" w:hAnsi="宋体" w:cs="宋体"/>
          <w:sz w:val="24"/>
        </w:rPr>
        <w:t>5.7回避。采购活动中，采购人员及相关人员与比选申请人有下列利害关系之一的，应当回避：</w:t>
      </w:r>
    </w:p>
    <w:p>
      <w:pPr>
        <w:pStyle w:val="20"/>
        <w:spacing w:line="400" w:lineRule="exact"/>
        <w:ind w:left="1" w:firstLine="480" w:firstLineChars="200"/>
        <w:rPr>
          <w:rFonts w:hAnsi="宋体" w:cs="宋体"/>
          <w:sz w:val="24"/>
        </w:rPr>
      </w:pPr>
      <w:r>
        <w:rPr>
          <w:rFonts w:hint="eastAsia" w:hAnsi="宋体" w:cs="宋体"/>
          <w:sz w:val="24"/>
        </w:rPr>
        <w:t>（1）参加采购活动前3年内与比选申请人存在劳动关系；</w:t>
      </w:r>
    </w:p>
    <w:p>
      <w:pPr>
        <w:pStyle w:val="20"/>
        <w:spacing w:line="400" w:lineRule="exact"/>
        <w:ind w:left="1" w:firstLine="480" w:firstLineChars="200"/>
        <w:rPr>
          <w:rFonts w:hAnsi="宋体" w:cs="宋体"/>
          <w:sz w:val="24"/>
        </w:rPr>
      </w:pPr>
      <w:r>
        <w:rPr>
          <w:rFonts w:hint="eastAsia" w:hAnsi="宋体" w:cs="宋体"/>
          <w:sz w:val="24"/>
        </w:rPr>
        <w:t>（2）参加采购活动前3年内担任比选申请人的董事、监事；</w:t>
      </w:r>
    </w:p>
    <w:p>
      <w:pPr>
        <w:pStyle w:val="20"/>
        <w:spacing w:line="400" w:lineRule="exact"/>
        <w:ind w:left="1" w:firstLine="480" w:firstLineChars="200"/>
        <w:rPr>
          <w:rFonts w:hAnsi="宋体" w:cs="宋体"/>
          <w:sz w:val="24"/>
        </w:rPr>
      </w:pPr>
      <w:r>
        <w:rPr>
          <w:rFonts w:hint="eastAsia" w:hAnsi="宋体" w:cs="宋体"/>
          <w:sz w:val="24"/>
        </w:rPr>
        <w:t>（3）参加采购活动前3年内是比选申请人的控股股东或者实际控制人；</w:t>
      </w:r>
    </w:p>
    <w:p>
      <w:pPr>
        <w:pStyle w:val="20"/>
        <w:spacing w:line="400" w:lineRule="exact"/>
        <w:ind w:left="1" w:firstLine="480" w:firstLineChars="200"/>
        <w:rPr>
          <w:rFonts w:hAnsi="宋体" w:cs="宋体"/>
          <w:sz w:val="24"/>
        </w:rPr>
      </w:pPr>
      <w:r>
        <w:rPr>
          <w:rFonts w:hint="eastAsia" w:hAnsi="宋体" w:cs="宋体"/>
          <w:sz w:val="24"/>
        </w:rPr>
        <w:t>（4）与比选申请人的法定代表人或者负责人有夫妻、直系血亲、三代以内旁系血亲或者近姻亲关系；</w:t>
      </w:r>
    </w:p>
    <w:p>
      <w:pPr>
        <w:pStyle w:val="20"/>
        <w:spacing w:line="400" w:lineRule="exact"/>
        <w:ind w:left="1" w:firstLine="480" w:firstLineChars="200"/>
        <w:rPr>
          <w:rFonts w:hAnsi="宋体" w:cs="宋体"/>
          <w:sz w:val="24"/>
        </w:rPr>
      </w:pPr>
      <w:r>
        <w:rPr>
          <w:rFonts w:hint="eastAsia" w:hAnsi="宋体" w:cs="宋体"/>
          <w:sz w:val="24"/>
        </w:rPr>
        <w:t>（5）与比选申请人有其他可能影响采购活动公平、公正进行的关系。</w:t>
      </w:r>
    </w:p>
    <w:p>
      <w:pPr>
        <w:pStyle w:val="20"/>
        <w:spacing w:line="400" w:lineRule="exact"/>
        <w:ind w:left="1" w:firstLine="480" w:firstLineChars="200"/>
        <w:rPr>
          <w:rFonts w:hAnsi="宋体" w:cs="宋体"/>
          <w:sz w:val="24"/>
        </w:rPr>
      </w:pPr>
      <w:r>
        <w:rPr>
          <w:rFonts w:hint="eastAsia" w:hAnsi="宋体" w:cs="宋体"/>
          <w:sz w:val="24"/>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pStyle w:val="20"/>
        <w:spacing w:line="400" w:lineRule="exact"/>
        <w:ind w:left="1" w:firstLine="480" w:firstLineChars="200"/>
        <w:rPr>
          <w:rFonts w:hAnsi="宋体" w:cs="宋体"/>
          <w:sz w:val="24"/>
        </w:rPr>
      </w:pPr>
      <w:r>
        <w:rPr>
          <w:rFonts w:hint="eastAsia" w:hAnsi="宋体" w:cs="宋体"/>
          <w:sz w:val="24"/>
        </w:rPr>
        <w:t>比选申请人认为采购人员及相关人员与其他比选申请人有利害关系的，可以向采购代理机构书面提出回避申请，并说明理由。采购代理机构将及时询问被申请回避人员，有利害关系的被申请回避人员应当回避。</w:t>
      </w:r>
    </w:p>
    <w:p>
      <w:pPr>
        <w:pStyle w:val="4"/>
        <w:spacing w:line="400" w:lineRule="exact"/>
        <w:jc w:val="center"/>
        <w:rPr>
          <w:rFonts w:ascii="黑体"/>
          <w:bCs w:val="0"/>
          <w:sz w:val="30"/>
          <w:szCs w:val="30"/>
        </w:rPr>
      </w:pPr>
      <w:bookmarkStart w:id="60" w:name="_Toc17746"/>
      <w:bookmarkStart w:id="61" w:name="_Toc10890"/>
      <w:r>
        <w:rPr>
          <w:rFonts w:hint="eastAsia"/>
          <w:sz w:val="28"/>
        </w:rPr>
        <w:t>三、比选文件</w:t>
      </w:r>
      <w:bookmarkEnd w:id="60"/>
      <w:bookmarkEnd w:id="61"/>
    </w:p>
    <w:p>
      <w:pPr>
        <w:pStyle w:val="5"/>
        <w:spacing w:line="400" w:lineRule="exact"/>
        <w:rPr>
          <w:rFonts w:ascii="宋体" w:hAnsi="宋体"/>
          <w:sz w:val="24"/>
        </w:rPr>
      </w:pPr>
      <w:bookmarkStart w:id="62" w:name="_Toc11029"/>
      <w:bookmarkStart w:id="63" w:name="_Toc18757"/>
      <w:r>
        <w:rPr>
          <w:rFonts w:hint="eastAsia" w:ascii="宋体" w:hAnsi="宋体"/>
          <w:sz w:val="24"/>
        </w:rPr>
        <w:t>6.比选文件的构成</w:t>
      </w:r>
      <w:bookmarkEnd w:id="62"/>
      <w:bookmarkEnd w:id="63"/>
    </w:p>
    <w:p>
      <w:pPr>
        <w:tabs>
          <w:tab w:val="left" w:pos="7665"/>
        </w:tabs>
        <w:spacing w:line="400" w:lineRule="exact"/>
        <w:ind w:firstLine="480"/>
        <w:rPr>
          <w:rFonts w:ascii="宋体" w:hAnsi="宋体"/>
          <w:sz w:val="24"/>
        </w:rPr>
      </w:pPr>
      <w:r>
        <w:rPr>
          <w:rFonts w:hint="eastAsia" w:ascii="宋体" w:hAnsi="宋体"/>
          <w:sz w:val="24"/>
        </w:rPr>
        <w:t>6</w:t>
      </w:r>
      <w:r>
        <w:rPr>
          <w:rFonts w:ascii="宋体" w:hAnsi="宋体"/>
          <w:b/>
          <w:bCs/>
          <w:sz w:val="24"/>
        </w:rPr>
        <w:t>.</w:t>
      </w:r>
      <w:r>
        <w:rPr>
          <w:rFonts w:hint="eastAsia" w:ascii="宋体" w:hAnsi="宋体"/>
          <w:sz w:val="24"/>
        </w:rPr>
        <w:t>1 比选文件是比选申请</w:t>
      </w:r>
      <w:r>
        <w:rPr>
          <w:rFonts w:ascii="宋体" w:hAnsi="宋体"/>
          <w:sz w:val="24"/>
        </w:rPr>
        <w:t>人</w:t>
      </w:r>
      <w:r>
        <w:rPr>
          <w:rFonts w:hint="eastAsia" w:ascii="宋体" w:hAnsi="宋体"/>
          <w:sz w:val="24"/>
        </w:rPr>
        <w:t>准备比选申请文件和参加比选的依据，同时也是评审的重要依据，具有准法律文件性质。比选文件用以阐明比选项目所需的资质、技术、服务及报价等要求、比选程序、有关规定和注意事项以及合同主要条款等。本比选文件包括以下内容：</w:t>
      </w:r>
    </w:p>
    <w:p>
      <w:pPr>
        <w:tabs>
          <w:tab w:val="left" w:pos="7665"/>
        </w:tabs>
        <w:spacing w:line="400" w:lineRule="exact"/>
        <w:ind w:firstLine="480" w:firstLineChars="200"/>
        <w:rPr>
          <w:rFonts w:hAnsi="宋体" w:cs="宋体"/>
          <w:sz w:val="24"/>
        </w:rPr>
      </w:pPr>
      <w:r>
        <w:rPr>
          <w:rFonts w:hint="eastAsia" w:hAnsi="宋体" w:cs="宋体"/>
          <w:sz w:val="24"/>
        </w:rPr>
        <w:t>（一）</w:t>
      </w:r>
      <w:r>
        <w:rPr>
          <w:rFonts w:hint="eastAsia" w:ascii="宋体" w:hAnsi="宋体"/>
          <w:sz w:val="24"/>
        </w:rPr>
        <w:t>比选</w:t>
      </w:r>
      <w:r>
        <w:rPr>
          <w:rFonts w:hint="eastAsia" w:hAnsi="宋体" w:cs="宋体"/>
          <w:sz w:val="24"/>
        </w:rPr>
        <w:t>邀请；</w:t>
      </w:r>
    </w:p>
    <w:p>
      <w:pPr>
        <w:tabs>
          <w:tab w:val="left" w:pos="7665"/>
        </w:tabs>
        <w:spacing w:line="400" w:lineRule="exact"/>
        <w:ind w:firstLine="480" w:firstLineChars="200"/>
        <w:rPr>
          <w:rFonts w:hAnsi="宋体" w:cs="宋体"/>
          <w:sz w:val="24"/>
        </w:rPr>
      </w:pPr>
      <w:r>
        <w:rPr>
          <w:rFonts w:hint="eastAsia" w:hAnsi="宋体" w:cs="宋体"/>
          <w:sz w:val="24"/>
        </w:rPr>
        <w:t>（二）</w:t>
      </w:r>
      <w:r>
        <w:rPr>
          <w:rFonts w:hint="eastAsia" w:ascii="宋体" w:hAnsi="宋体"/>
          <w:sz w:val="24"/>
        </w:rPr>
        <w:t>比选申请人</w:t>
      </w:r>
      <w:r>
        <w:rPr>
          <w:rFonts w:hint="eastAsia" w:hAnsi="宋体" w:cs="宋体"/>
          <w:sz w:val="24"/>
        </w:rPr>
        <w:t>须知；</w:t>
      </w:r>
    </w:p>
    <w:p>
      <w:pPr>
        <w:tabs>
          <w:tab w:val="left" w:pos="7665"/>
        </w:tabs>
        <w:spacing w:line="400" w:lineRule="exact"/>
        <w:ind w:firstLine="480" w:firstLineChars="200"/>
        <w:rPr>
          <w:rFonts w:hAnsi="宋体" w:cs="宋体"/>
          <w:sz w:val="24"/>
        </w:rPr>
      </w:pPr>
      <w:r>
        <w:rPr>
          <w:rFonts w:hint="eastAsia" w:hAnsi="宋体" w:cs="宋体"/>
          <w:sz w:val="24"/>
        </w:rPr>
        <w:t>（三）</w:t>
      </w:r>
      <w:r>
        <w:rPr>
          <w:rFonts w:hint="eastAsia" w:ascii="宋体" w:hAnsi="宋体"/>
          <w:sz w:val="24"/>
        </w:rPr>
        <w:t>比选申请</w:t>
      </w:r>
      <w:r>
        <w:rPr>
          <w:rFonts w:hint="eastAsia" w:hAnsi="宋体" w:cs="宋体"/>
          <w:sz w:val="24"/>
        </w:rPr>
        <w:t>文件格式；</w:t>
      </w:r>
    </w:p>
    <w:p>
      <w:pPr>
        <w:tabs>
          <w:tab w:val="left" w:pos="7665"/>
        </w:tabs>
        <w:spacing w:line="400" w:lineRule="exact"/>
        <w:ind w:firstLine="480" w:firstLineChars="200"/>
        <w:rPr>
          <w:rFonts w:hAnsi="宋体" w:cs="宋体"/>
          <w:sz w:val="24"/>
        </w:rPr>
      </w:pPr>
      <w:r>
        <w:rPr>
          <w:rFonts w:hint="eastAsia" w:hAnsi="宋体" w:cs="宋体"/>
          <w:sz w:val="24"/>
        </w:rPr>
        <w:t>（四）</w:t>
      </w:r>
      <w:r>
        <w:rPr>
          <w:rFonts w:hint="eastAsia" w:ascii="宋体" w:hAnsi="宋体"/>
          <w:sz w:val="24"/>
        </w:rPr>
        <w:t>比选申请人</w:t>
      </w:r>
      <w:r>
        <w:rPr>
          <w:rFonts w:hint="eastAsia" w:hAnsi="宋体" w:cs="宋体"/>
          <w:sz w:val="24"/>
        </w:rPr>
        <w:t>的资格、资质性及其他类似效力要求；</w:t>
      </w:r>
    </w:p>
    <w:p>
      <w:pPr>
        <w:tabs>
          <w:tab w:val="left" w:pos="7665"/>
        </w:tabs>
        <w:spacing w:line="400" w:lineRule="exact"/>
        <w:ind w:firstLine="480" w:firstLineChars="200"/>
        <w:rPr>
          <w:rFonts w:hAnsi="宋体" w:cs="宋体"/>
          <w:sz w:val="24"/>
        </w:rPr>
      </w:pPr>
      <w:r>
        <w:rPr>
          <w:rFonts w:hint="eastAsia" w:hAnsi="宋体" w:cs="宋体"/>
          <w:sz w:val="24"/>
        </w:rPr>
        <w:t>（五）</w:t>
      </w:r>
      <w:r>
        <w:rPr>
          <w:rFonts w:hint="eastAsia" w:ascii="宋体" w:hAnsi="宋体"/>
          <w:sz w:val="24"/>
        </w:rPr>
        <w:t>比选申请人</w:t>
      </w:r>
      <w:r>
        <w:rPr>
          <w:rFonts w:hint="eastAsia" w:hAnsi="宋体" w:cs="宋体"/>
          <w:sz w:val="24"/>
        </w:rPr>
        <w:t>应当提供的资格、资质性及其他类似效力要求的相关证明材料；</w:t>
      </w:r>
    </w:p>
    <w:p>
      <w:pPr>
        <w:tabs>
          <w:tab w:val="left" w:pos="7665"/>
        </w:tabs>
        <w:spacing w:line="400" w:lineRule="exact"/>
        <w:ind w:firstLine="480" w:firstLineChars="200"/>
        <w:rPr>
          <w:rFonts w:hAnsi="宋体" w:cs="宋体"/>
          <w:sz w:val="24"/>
        </w:rPr>
      </w:pPr>
      <w:r>
        <w:rPr>
          <w:rFonts w:hint="eastAsia" w:hAnsi="宋体" w:cs="宋体"/>
          <w:sz w:val="24"/>
        </w:rPr>
        <w:t>（六）比选项目服务、商务及其他要求；</w:t>
      </w:r>
    </w:p>
    <w:p>
      <w:pPr>
        <w:tabs>
          <w:tab w:val="left" w:pos="7665"/>
        </w:tabs>
        <w:spacing w:line="400" w:lineRule="exact"/>
        <w:ind w:firstLine="480" w:firstLineChars="200"/>
        <w:rPr>
          <w:rFonts w:hAnsi="宋体" w:cs="宋体"/>
          <w:sz w:val="24"/>
        </w:rPr>
      </w:pPr>
      <w:r>
        <w:rPr>
          <w:rFonts w:hint="eastAsia" w:hAnsi="宋体" w:cs="宋体"/>
          <w:sz w:val="24"/>
        </w:rPr>
        <w:t>（七）评审办法；</w:t>
      </w:r>
    </w:p>
    <w:p>
      <w:pPr>
        <w:tabs>
          <w:tab w:val="left" w:pos="7665"/>
        </w:tabs>
        <w:spacing w:line="400" w:lineRule="exact"/>
        <w:ind w:firstLine="480" w:firstLineChars="200"/>
        <w:rPr>
          <w:rFonts w:ascii="宋体" w:hAnsi="宋体"/>
          <w:sz w:val="24"/>
        </w:rPr>
      </w:pPr>
      <w:r>
        <w:rPr>
          <w:rFonts w:hint="eastAsia" w:hAnsi="宋体" w:cs="宋体"/>
          <w:sz w:val="24"/>
        </w:rPr>
        <w:t>（八）合同主要条款。</w:t>
      </w:r>
    </w:p>
    <w:p>
      <w:pPr>
        <w:tabs>
          <w:tab w:val="left" w:pos="7665"/>
        </w:tabs>
        <w:spacing w:line="400" w:lineRule="exact"/>
        <w:ind w:firstLine="480" w:firstLineChars="200"/>
        <w:rPr>
          <w:rFonts w:ascii="宋体" w:hAnsi="宋体"/>
          <w:sz w:val="24"/>
        </w:rPr>
      </w:pPr>
      <w:r>
        <w:rPr>
          <w:rFonts w:hint="eastAsia" w:ascii="宋体" w:hAnsi="宋体"/>
          <w:sz w:val="24"/>
        </w:rPr>
        <w:t>6</w:t>
      </w:r>
      <w:r>
        <w:rPr>
          <w:rFonts w:hint="eastAsia" w:ascii="宋体" w:hAnsi="宋体"/>
          <w:b/>
          <w:bCs/>
          <w:sz w:val="24"/>
        </w:rPr>
        <w:t>.</w:t>
      </w:r>
      <w:r>
        <w:rPr>
          <w:rFonts w:hint="eastAsia" w:ascii="宋体" w:hAnsi="宋体"/>
          <w:sz w:val="24"/>
        </w:rPr>
        <w:t>2 比选申请人应认真阅读和充分理解比选文件中所有的事项、格式条款和规范要求。比选申请人没有对比选文件全面做出实质性响应是比选申请人的风险。没有按照比选文件要求作出实质性响应的比选申请文件将被拒绝。</w:t>
      </w:r>
    </w:p>
    <w:p>
      <w:pPr>
        <w:pStyle w:val="5"/>
        <w:spacing w:line="400" w:lineRule="exact"/>
        <w:rPr>
          <w:rFonts w:ascii="宋体" w:hAnsi="宋体"/>
          <w:sz w:val="24"/>
        </w:rPr>
      </w:pPr>
      <w:bookmarkStart w:id="64" w:name="_Toc26924"/>
      <w:bookmarkStart w:id="65" w:name="_Toc30091"/>
      <w:r>
        <w:rPr>
          <w:rFonts w:hint="eastAsia" w:ascii="宋体" w:hAnsi="宋体"/>
          <w:sz w:val="24"/>
        </w:rPr>
        <w:t>7. 比选文件的澄清和修改</w:t>
      </w:r>
      <w:bookmarkEnd w:id="64"/>
      <w:bookmarkEnd w:id="65"/>
    </w:p>
    <w:p>
      <w:pPr>
        <w:tabs>
          <w:tab w:val="left" w:pos="720"/>
        </w:tabs>
        <w:spacing w:line="400" w:lineRule="exact"/>
        <w:ind w:firstLine="480" w:firstLineChars="200"/>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 xml:space="preserve"> 在比选截止时间前，比选采购单位无论出于何种原因，可以对比选文件进行澄清或者修改。</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.2</w:t>
      </w:r>
      <w:r>
        <w:rPr>
          <w:rFonts w:hint="eastAsia" w:ascii="宋体" w:hAnsi="宋体"/>
          <w:sz w:val="24"/>
        </w:rPr>
        <w:t xml:space="preserve"> 比选采购单位对已发出的比选文件进行澄清或者修改，将在比选文件要求的提交比选文件截止时间一日前进行，并以书面形式将澄清或者修改的内容通知所有购买了比选文件的比选申请人，同时在攀枝花市国有投资（集团）有限责任公司上发布更正公告。该澄清或者修改的内容为比选文件的组成部分。</w:t>
      </w:r>
    </w:p>
    <w:p>
      <w:pPr>
        <w:spacing w:line="400" w:lineRule="exact"/>
        <w:ind w:firstLine="480" w:firstLineChars="200"/>
        <w:rPr>
          <w:rFonts w:ascii="宋体" w:hAnsi="宋体"/>
          <w:sz w:val="24"/>
        </w:rPr>
      </w:pPr>
      <w:r>
        <w:rPr>
          <w:rFonts w:hint="eastAsia" w:ascii="宋体" w:hAnsi="宋体"/>
          <w:sz w:val="24"/>
        </w:rPr>
        <w:t>7</w:t>
      </w:r>
      <w:r>
        <w:rPr>
          <w:rFonts w:ascii="宋体" w:hAnsi="宋体"/>
          <w:b/>
          <w:bCs/>
          <w:sz w:val="24"/>
        </w:rPr>
        <w:t>.</w:t>
      </w:r>
      <w:r>
        <w:rPr>
          <w:rFonts w:hint="eastAsia" w:ascii="宋体" w:hAnsi="宋体"/>
          <w:sz w:val="24"/>
        </w:rPr>
        <w:t>3 比选申请人要求对比选文件进行澄清的，均应在比选截止日2天前按比选文件中的联系方式，以书面形式通知比选代理机构。</w:t>
      </w:r>
    </w:p>
    <w:p>
      <w:pPr>
        <w:spacing w:line="400" w:lineRule="exact"/>
        <w:ind w:firstLine="480" w:firstLineChars="200"/>
        <w:rPr>
          <w:rFonts w:ascii="宋体" w:hAnsi="宋体"/>
          <w:sz w:val="24"/>
        </w:rPr>
      </w:pPr>
      <w:r>
        <w:rPr>
          <w:rFonts w:hint="eastAsia" w:ascii="宋体" w:hAnsi="宋体"/>
          <w:sz w:val="24"/>
        </w:rPr>
        <w:t>7.4 在比选截止时间前，比选采购单位可以视采购具体情况，延长比选截止时间和开标时间，并在比选文件要求提交比选申请文件的截止时间1日前，将变更时间以书面形式通知所有购买了比选文件的比选申请人，同时在攀枝花市国有投资（集团）有限责任公司上发布变更公告。</w:t>
      </w:r>
    </w:p>
    <w:p>
      <w:pPr>
        <w:pStyle w:val="4"/>
        <w:spacing w:line="400" w:lineRule="exact"/>
        <w:jc w:val="center"/>
        <w:rPr>
          <w:sz w:val="28"/>
        </w:rPr>
      </w:pPr>
      <w:bookmarkStart w:id="66" w:name="_Toc3458"/>
      <w:bookmarkStart w:id="67" w:name="_Toc25310"/>
      <w:r>
        <w:rPr>
          <w:rFonts w:hint="eastAsia"/>
          <w:sz w:val="28"/>
        </w:rPr>
        <w:t>四、比选申请文件</w:t>
      </w:r>
      <w:bookmarkEnd w:id="66"/>
      <w:bookmarkEnd w:id="67"/>
    </w:p>
    <w:p>
      <w:pPr>
        <w:pStyle w:val="5"/>
        <w:spacing w:line="400" w:lineRule="exact"/>
        <w:rPr>
          <w:rFonts w:ascii="宋体" w:hAnsi="宋体"/>
          <w:bCs w:val="0"/>
          <w:sz w:val="24"/>
        </w:rPr>
      </w:pPr>
      <w:bookmarkStart w:id="68" w:name="_Toc29448"/>
      <w:bookmarkStart w:id="69" w:name="_Toc3252"/>
      <w:r>
        <w:rPr>
          <w:rFonts w:hint="eastAsia" w:ascii="宋体" w:hAnsi="宋体"/>
          <w:bCs w:val="0"/>
          <w:sz w:val="24"/>
        </w:rPr>
        <w:t>9</w:t>
      </w:r>
      <w:r>
        <w:rPr>
          <w:rFonts w:ascii="宋体" w:hAnsi="宋体"/>
          <w:bCs w:val="0"/>
          <w:sz w:val="24"/>
        </w:rPr>
        <w:t>.</w:t>
      </w:r>
      <w:r>
        <w:rPr>
          <w:rFonts w:hint="eastAsia" w:ascii="宋体" w:hAnsi="宋体"/>
          <w:bCs w:val="0"/>
          <w:sz w:val="24"/>
        </w:rPr>
        <w:t xml:space="preserve"> 比选申请的语言</w:t>
      </w:r>
      <w:bookmarkEnd w:id="68"/>
      <w:bookmarkEnd w:id="69"/>
    </w:p>
    <w:p>
      <w:pPr>
        <w:spacing w:line="400" w:lineRule="exact"/>
        <w:ind w:firstLine="480" w:firstLineChars="200"/>
        <w:rPr>
          <w:rFonts w:ascii="宋体" w:hAnsi="宋体"/>
          <w:sz w:val="24"/>
        </w:rPr>
      </w:pPr>
      <w:r>
        <w:rPr>
          <w:rFonts w:hint="eastAsia" w:ascii="宋体" w:hAnsi="宋体"/>
          <w:sz w:val="24"/>
        </w:rPr>
        <w:t>9.1 比选申请人提交的比选申请文件以及比选申请人与比选采购单位就有关比选申请的所有来往书面文件均须使用中文。比选申请文件中如附有外文资料，应尽量翻译成中文并加盖比选申请人公章后附在相关外文资料后面。</w:t>
      </w:r>
    </w:p>
    <w:p>
      <w:pPr>
        <w:spacing w:line="400" w:lineRule="exact"/>
        <w:ind w:firstLine="480" w:firstLineChars="200"/>
        <w:rPr>
          <w:rFonts w:ascii="宋体" w:hAnsi="宋体"/>
          <w:sz w:val="24"/>
        </w:rPr>
      </w:pPr>
      <w:r>
        <w:rPr>
          <w:rFonts w:hint="eastAsia" w:ascii="宋体" w:hAnsi="宋体"/>
          <w:sz w:val="24"/>
        </w:rPr>
        <w:t>9.2 翻译的中文资料与外文资料如果出现差异和矛盾时，以中文为准。</w:t>
      </w:r>
    </w:p>
    <w:p>
      <w:pPr>
        <w:pStyle w:val="5"/>
        <w:spacing w:line="400" w:lineRule="exact"/>
        <w:rPr>
          <w:rFonts w:ascii="宋体" w:hAnsi="宋体"/>
          <w:sz w:val="24"/>
        </w:rPr>
      </w:pPr>
      <w:bookmarkStart w:id="70" w:name="_Toc19395"/>
      <w:bookmarkStart w:id="71" w:name="_Toc8587"/>
      <w:r>
        <w:rPr>
          <w:rFonts w:hint="eastAsia" w:ascii="宋体" w:hAnsi="宋体"/>
          <w:sz w:val="24"/>
        </w:rPr>
        <w:t>10</w:t>
      </w:r>
      <w:r>
        <w:rPr>
          <w:rFonts w:ascii="宋体" w:hAnsi="宋体"/>
          <w:sz w:val="24"/>
        </w:rPr>
        <w:t>.</w:t>
      </w:r>
      <w:r>
        <w:rPr>
          <w:rFonts w:hint="eastAsia" w:ascii="宋体" w:hAnsi="宋体"/>
          <w:sz w:val="24"/>
        </w:rPr>
        <w:t xml:space="preserve"> 计量单位</w:t>
      </w:r>
      <w:bookmarkEnd w:id="70"/>
      <w:bookmarkEnd w:id="71"/>
    </w:p>
    <w:p>
      <w:pPr>
        <w:spacing w:line="400" w:lineRule="exact"/>
        <w:ind w:firstLine="470" w:firstLineChars="196"/>
        <w:rPr>
          <w:rFonts w:ascii="宋体" w:hAnsi="宋体"/>
          <w:sz w:val="24"/>
        </w:rPr>
      </w:pPr>
      <w:r>
        <w:rPr>
          <w:rFonts w:hint="eastAsia" w:ascii="宋体" w:hAnsi="宋体"/>
          <w:sz w:val="24"/>
        </w:rPr>
        <w:t>除技术及要求中另有规定外，本采购项下的比选均采用国家法定的计量单位。</w:t>
      </w:r>
    </w:p>
    <w:p>
      <w:pPr>
        <w:pStyle w:val="5"/>
        <w:spacing w:line="400" w:lineRule="exact"/>
        <w:rPr>
          <w:rFonts w:ascii="宋体" w:hAnsi="宋体"/>
          <w:sz w:val="24"/>
          <w:szCs w:val="24"/>
        </w:rPr>
      </w:pPr>
      <w:bookmarkStart w:id="72" w:name="_Toc13487"/>
      <w:bookmarkStart w:id="73" w:name="_Toc11548"/>
      <w:r>
        <w:rPr>
          <w:rFonts w:hint="eastAsia" w:ascii="宋体" w:hAnsi="宋体"/>
          <w:sz w:val="24"/>
          <w:szCs w:val="24"/>
        </w:rPr>
        <w:t>11. 比选项目</w:t>
      </w:r>
      <w:r>
        <w:rPr>
          <w:rFonts w:ascii="宋体" w:hAnsi="宋体"/>
          <w:sz w:val="24"/>
          <w:szCs w:val="24"/>
        </w:rPr>
        <w:t>中所涉及的</w:t>
      </w:r>
      <w:r>
        <w:rPr>
          <w:rFonts w:hint="eastAsia" w:ascii="宋体" w:hAnsi="宋体"/>
          <w:sz w:val="24"/>
          <w:szCs w:val="24"/>
        </w:rPr>
        <w:t>货币</w:t>
      </w:r>
      <w:bookmarkEnd w:id="72"/>
      <w:bookmarkEnd w:id="73"/>
    </w:p>
    <w:p>
      <w:pPr>
        <w:tabs>
          <w:tab w:val="left" w:pos="7665"/>
        </w:tabs>
        <w:spacing w:line="400" w:lineRule="exact"/>
        <w:ind w:left="13" w:hanging="118"/>
        <w:rPr>
          <w:rFonts w:ascii="宋体" w:hAnsi="宋体"/>
          <w:sz w:val="24"/>
        </w:rPr>
      </w:pPr>
      <w:r>
        <w:rPr>
          <w:rFonts w:hint="eastAsia" w:ascii="宋体" w:hAnsi="宋体"/>
          <w:sz w:val="24"/>
        </w:rPr>
        <w:t xml:space="preserve"> 本次比选项目的比选申请人均以人民币报价。</w:t>
      </w:r>
    </w:p>
    <w:p>
      <w:pPr>
        <w:pStyle w:val="5"/>
        <w:spacing w:line="415" w:lineRule="auto"/>
        <w:rPr>
          <w:rFonts w:ascii="宋体" w:hAnsi="宋体"/>
        </w:rPr>
      </w:pPr>
      <w:bookmarkStart w:id="74" w:name="_Toc28904"/>
      <w:bookmarkStart w:id="75" w:name="_Toc11131"/>
      <w:r>
        <w:rPr>
          <w:rFonts w:hint="eastAsia" w:ascii="宋体" w:hAnsi="宋体"/>
          <w:sz w:val="24"/>
          <w:szCs w:val="24"/>
        </w:rPr>
        <w:t>12.联合体</w:t>
      </w:r>
      <w:bookmarkEnd w:id="74"/>
      <w:r>
        <w:rPr>
          <w:rFonts w:hint="eastAsia" w:ascii="宋体" w:hAnsi="宋体"/>
          <w:sz w:val="24"/>
          <w:szCs w:val="24"/>
        </w:rPr>
        <w:t>（实质性要求）</w:t>
      </w:r>
      <w:bookmarkEnd w:id="75"/>
    </w:p>
    <w:p>
      <w:pPr>
        <w:pStyle w:val="7"/>
        <w:spacing w:line="400" w:lineRule="exact"/>
        <w:ind w:firstLine="480" w:firstLineChars="200"/>
        <w:rPr>
          <w:rFonts w:ascii="宋体" w:hAnsi="宋体"/>
          <w:sz w:val="24"/>
          <w:szCs w:val="24"/>
        </w:rPr>
      </w:pPr>
      <w:r>
        <w:rPr>
          <w:rFonts w:hint="eastAsia" w:ascii="宋体" w:hAnsi="宋体"/>
          <w:sz w:val="24"/>
          <w:szCs w:val="24"/>
        </w:rPr>
        <w:t>本项目不接受联合体。</w:t>
      </w:r>
    </w:p>
    <w:p>
      <w:pPr>
        <w:pStyle w:val="5"/>
        <w:spacing w:line="400" w:lineRule="exact"/>
        <w:rPr>
          <w:rFonts w:ascii="宋体" w:hAnsi="宋体"/>
          <w:bCs w:val="0"/>
          <w:sz w:val="24"/>
          <w:szCs w:val="24"/>
        </w:rPr>
      </w:pPr>
      <w:bookmarkStart w:id="76" w:name="_Toc1756"/>
      <w:bookmarkStart w:id="77" w:name="_Toc11946"/>
      <w:r>
        <w:rPr>
          <w:rFonts w:ascii="宋体" w:hAnsi="宋体"/>
          <w:bCs w:val="0"/>
          <w:sz w:val="24"/>
          <w:szCs w:val="24"/>
        </w:rPr>
        <w:t>1</w:t>
      </w:r>
      <w:r>
        <w:rPr>
          <w:rFonts w:hint="eastAsia" w:ascii="宋体" w:hAnsi="宋体"/>
          <w:bCs w:val="0"/>
          <w:sz w:val="24"/>
          <w:szCs w:val="24"/>
        </w:rPr>
        <w:t>3</w:t>
      </w:r>
      <w:r>
        <w:rPr>
          <w:rFonts w:ascii="宋体" w:hAnsi="宋体"/>
          <w:bCs w:val="0"/>
          <w:sz w:val="24"/>
          <w:szCs w:val="24"/>
        </w:rPr>
        <w:t>.</w:t>
      </w:r>
      <w:r>
        <w:rPr>
          <w:rFonts w:hint="eastAsia" w:ascii="宋体" w:hAnsi="宋体"/>
          <w:bCs w:val="0"/>
          <w:sz w:val="24"/>
          <w:szCs w:val="24"/>
        </w:rPr>
        <w:t xml:space="preserve"> 知识产权</w:t>
      </w:r>
      <w:bookmarkEnd w:id="76"/>
      <w:bookmarkEnd w:id="77"/>
    </w:p>
    <w:p>
      <w:pPr>
        <w:pStyle w:val="7"/>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.1</w:t>
      </w:r>
      <w:r>
        <w:rPr>
          <w:rFonts w:hint="eastAsia" w:ascii="宋体" w:hAnsi="宋体"/>
          <w:sz w:val="24"/>
          <w:szCs w:val="24"/>
        </w:rPr>
        <w:t xml:space="preserve"> 比选申请人应保证在本项目使用的任何产品和服务（包括部分使用）时，不会产生因第三方提出侵犯其专利权、商标权或其它知识产权而引起的法律和经济纠纷，如因专利权、商标权或其它知识产权而引起法律和经济纠纷，由比选申请人承担所有相关责任。</w:t>
      </w:r>
    </w:p>
    <w:p>
      <w:pPr>
        <w:pStyle w:val="7"/>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3</w:t>
      </w:r>
      <w:r>
        <w:rPr>
          <w:rFonts w:ascii="宋体" w:hAnsi="宋体"/>
          <w:sz w:val="24"/>
          <w:szCs w:val="24"/>
        </w:rPr>
        <w:t>.2</w:t>
      </w:r>
      <w:r>
        <w:rPr>
          <w:rFonts w:hint="eastAsia" w:ascii="宋体" w:hAnsi="宋体"/>
          <w:sz w:val="24"/>
          <w:szCs w:val="24"/>
        </w:rPr>
        <w:t xml:space="preserve"> 采购人享有本项目实施过程中产生的知识成果及知识产权。</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.3</w:t>
      </w:r>
      <w:r>
        <w:rPr>
          <w:rFonts w:hint="eastAsia" w:ascii="宋体" w:hAnsi="宋体"/>
          <w:sz w:val="24"/>
        </w:rPr>
        <w:t xml:space="preserve"> 比选申请人如欲在项目实施过程中采用自有知识成果，需在比选申请文件中声明，并提供相关知识产权证明文件。使用该知识成果后，比选申请人需提供开发接口和开发手册等技术文档，并承诺提供无限期技术支持，采购人享有永久使用权。</w:t>
      </w:r>
    </w:p>
    <w:p>
      <w:pPr>
        <w:spacing w:line="400" w:lineRule="exact"/>
        <w:ind w:firstLine="460" w:firstLineChars="192"/>
        <w:rPr>
          <w:rFonts w:ascii="宋体" w:hAnsi="宋体"/>
          <w:sz w:val="24"/>
        </w:rPr>
      </w:pPr>
      <w:r>
        <w:rPr>
          <w:rFonts w:ascii="宋体" w:hAnsi="宋体"/>
          <w:sz w:val="24"/>
        </w:rPr>
        <w:t>1</w:t>
      </w:r>
      <w:r>
        <w:rPr>
          <w:rFonts w:hint="eastAsia" w:ascii="宋体" w:hAnsi="宋体"/>
          <w:sz w:val="24"/>
        </w:rPr>
        <w:t>3</w:t>
      </w:r>
      <w:r>
        <w:rPr>
          <w:rFonts w:ascii="宋体" w:hAnsi="宋体"/>
          <w:sz w:val="24"/>
        </w:rPr>
        <w:t>.4</w:t>
      </w:r>
      <w:r>
        <w:rPr>
          <w:rFonts w:hint="eastAsia" w:ascii="宋体" w:hAnsi="宋体"/>
          <w:sz w:val="24"/>
        </w:rPr>
        <w:t xml:space="preserve"> 如采用比选申请人所不拥有的知识产权，则在比选报价中必须包括合法获取该知识产权的相关费用。 </w:t>
      </w:r>
    </w:p>
    <w:p>
      <w:pPr>
        <w:pStyle w:val="5"/>
        <w:spacing w:line="400" w:lineRule="exact"/>
        <w:rPr>
          <w:rFonts w:ascii="宋体" w:hAnsi="宋体"/>
          <w:sz w:val="24"/>
        </w:rPr>
      </w:pPr>
      <w:bookmarkStart w:id="78" w:name="_Toc22496"/>
      <w:bookmarkStart w:id="79" w:name="_Toc1052"/>
      <w:r>
        <w:rPr>
          <w:rFonts w:hint="eastAsia" w:ascii="宋体" w:hAnsi="宋体"/>
          <w:sz w:val="24"/>
        </w:rPr>
        <w:t>14. 比选申请文件的组成</w:t>
      </w:r>
      <w:bookmarkEnd w:id="78"/>
      <w:r>
        <w:rPr>
          <w:rFonts w:hint="eastAsia" w:ascii="宋体" w:hAnsi="宋体"/>
          <w:sz w:val="24"/>
        </w:rPr>
        <w:t>（实质性要求）</w:t>
      </w:r>
      <w:bookmarkEnd w:id="79"/>
    </w:p>
    <w:p>
      <w:pPr>
        <w:spacing w:line="400" w:lineRule="exact"/>
        <w:ind w:firstLine="470" w:firstLineChars="196"/>
        <w:rPr>
          <w:rFonts w:ascii="宋体" w:hAnsi="宋体"/>
          <w:sz w:val="24"/>
        </w:rPr>
      </w:pPr>
      <w:r>
        <w:rPr>
          <w:rFonts w:hint="eastAsia" w:ascii="宋体" w:hAnsi="宋体"/>
          <w:sz w:val="24"/>
        </w:rPr>
        <w:t>比选申请人应按照比选文件的规定和要求编制比选申请文件。比选申请人拟在成交后将成交项目的非主体、非关键性工作交由他人完成的，应当在比选申请文件中载明。比选申请人编写的比选申请文件应包括下列部分：</w:t>
      </w:r>
    </w:p>
    <w:p>
      <w:pPr>
        <w:spacing w:line="400" w:lineRule="exact"/>
        <w:ind w:firstLine="472" w:firstLineChars="196"/>
        <w:rPr>
          <w:rFonts w:ascii="宋体" w:hAnsi="宋体"/>
          <w:sz w:val="24"/>
        </w:rPr>
      </w:pPr>
      <w:r>
        <w:rPr>
          <w:rFonts w:hint="eastAsia"/>
          <w:b/>
          <w:sz w:val="24"/>
        </w:rPr>
        <w:t>14.1 报价部分。</w:t>
      </w:r>
      <w:r>
        <w:rPr>
          <w:rFonts w:hint="eastAsia" w:ascii="宋体" w:hAnsi="宋体"/>
          <w:bCs/>
          <w:sz w:val="24"/>
        </w:rPr>
        <w:t>比选申请人</w:t>
      </w:r>
      <w:r>
        <w:rPr>
          <w:rFonts w:hint="eastAsia" w:ascii="宋体" w:hAnsi="宋体"/>
          <w:sz w:val="24"/>
        </w:rPr>
        <w:t>按照比选文件要求填写的“开标一览表”及“报价明细表”。 本次比选报价要求：</w:t>
      </w:r>
    </w:p>
    <w:p>
      <w:pPr>
        <w:spacing w:line="400" w:lineRule="exact"/>
        <w:ind w:firstLine="480" w:firstLineChars="200"/>
        <w:rPr>
          <w:rFonts w:ascii="宋体" w:hAnsi="宋体"/>
          <w:sz w:val="24"/>
        </w:rPr>
      </w:pPr>
      <w:r>
        <w:rPr>
          <w:rFonts w:hint="eastAsia" w:ascii="宋体" w:hAnsi="宋体"/>
          <w:sz w:val="24"/>
        </w:rPr>
        <w:t>（1）比选申请人的报价是比选申请人响应比选项目要求的全部工作内容的价格体现，包括比选申请人完成本项目所需的一切费用及</w:t>
      </w:r>
      <w:r>
        <w:rPr>
          <w:rFonts w:ascii="宋体" w:hAnsi="宋体"/>
          <w:sz w:val="24"/>
        </w:rPr>
        <w:t>比选代理服务费</w:t>
      </w:r>
      <w:r>
        <w:rPr>
          <w:rFonts w:hint="eastAsia" w:ascii="宋体" w:hAnsi="宋体"/>
          <w:sz w:val="24"/>
        </w:rPr>
        <w:t>。</w:t>
      </w:r>
    </w:p>
    <w:p>
      <w:pPr>
        <w:spacing w:line="400" w:lineRule="exact"/>
        <w:ind w:left="2" w:firstLine="352" w:firstLineChars="147"/>
        <w:rPr>
          <w:rFonts w:ascii="宋体" w:hAnsi="宋体"/>
          <w:sz w:val="24"/>
        </w:rPr>
      </w:pPr>
      <w:r>
        <w:rPr>
          <w:rFonts w:hint="eastAsia" w:ascii="宋体" w:hAnsi="宋体"/>
          <w:sz w:val="24"/>
        </w:rPr>
        <w:t xml:space="preserve"> （2）比选申请人所</w:t>
      </w:r>
      <w:r>
        <w:rPr>
          <w:rFonts w:ascii="宋体" w:hAnsi="宋体"/>
          <w:sz w:val="24"/>
        </w:rPr>
        <w:t>提供的</w:t>
      </w:r>
      <w:r>
        <w:rPr>
          <w:rFonts w:hint="eastAsia" w:ascii="宋体" w:hAnsi="宋体"/>
          <w:sz w:val="24"/>
        </w:rPr>
        <w:t>货物只允许有一个报价，并且在合同履行过程中是固定不变的，任何有选择或可调整的报价将不予接受，并按无效比选申请处理。</w:t>
      </w:r>
    </w:p>
    <w:p>
      <w:pPr>
        <w:spacing w:line="400" w:lineRule="exact"/>
        <w:ind w:left="1" w:firstLine="475" w:firstLineChars="197"/>
        <w:rPr>
          <w:rFonts w:ascii="宋体" w:hAnsi="宋体"/>
          <w:b/>
          <w:bCs/>
          <w:sz w:val="24"/>
        </w:rPr>
      </w:pPr>
      <w:r>
        <w:rPr>
          <w:rFonts w:hint="eastAsia" w:ascii="宋体" w:hAnsi="宋体"/>
          <w:b/>
          <w:bCs/>
          <w:sz w:val="24"/>
        </w:rPr>
        <w:t>14.2 服务部分。</w:t>
      </w:r>
    </w:p>
    <w:p>
      <w:pPr>
        <w:spacing w:line="400" w:lineRule="exact"/>
        <w:ind w:left="1" w:firstLine="472" w:firstLineChars="197"/>
        <w:rPr>
          <w:rFonts w:ascii="宋体" w:hAnsi="宋体"/>
          <w:bCs/>
          <w:sz w:val="24"/>
        </w:rPr>
      </w:pPr>
      <w:r>
        <w:rPr>
          <w:rFonts w:hint="eastAsia" w:ascii="宋体" w:hAnsi="宋体"/>
          <w:bCs/>
          <w:sz w:val="24"/>
        </w:rPr>
        <w:t>（1）服务方案、项目实施方案；</w:t>
      </w:r>
    </w:p>
    <w:p>
      <w:pPr>
        <w:spacing w:line="400" w:lineRule="exact"/>
        <w:ind w:left="1" w:firstLine="472" w:firstLineChars="197"/>
      </w:pPr>
      <w:r>
        <w:rPr>
          <w:rFonts w:hint="eastAsia" w:ascii="宋体" w:hAnsi="宋体"/>
          <w:bCs/>
          <w:sz w:val="24"/>
        </w:rPr>
        <w:t>（2）比选申请人认为需要提供的对自己有利文件和资料。</w:t>
      </w:r>
    </w:p>
    <w:p>
      <w:pPr>
        <w:spacing w:line="400" w:lineRule="exact"/>
        <w:ind w:firstLine="482" w:firstLineChars="200"/>
        <w:rPr>
          <w:rFonts w:ascii="宋体" w:hAnsi="宋体"/>
          <w:bCs/>
          <w:sz w:val="24"/>
        </w:rPr>
      </w:pPr>
      <w:r>
        <w:rPr>
          <w:rFonts w:hint="eastAsia" w:ascii="宋体" w:hAnsi="宋体"/>
          <w:b/>
          <w:bCs/>
          <w:sz w:val="24"/>
        </w:rPr>
        <w:t>14.3商务部分（根据具体项目情况确定）。</w:t>
      </w:r>
      <w:r>
        <w:rPr>
          <w:rFonts w:hint="eastAsia" w:ascii="宋体" w:hAnsi="宋体"/>
          <w:bCs/>
          <w:sz w:val="24"/>
        </w:rPr>
        <w:t>比选申请人按照比选文件要求提供的有关证明材料及优惠承诺。包括以下内容：</w:t>
      </w:r>
    </w:p>
    <w:p>
      <w:pPr>
        <w:spacing w:line="400" w:lineRule="exact"/>
        <w:ind w:firstLine="480" w:firstLineChars="200"/>
        <w:rPr>
          <w:rFonts w:ascii="宋体" w:hAnsi="宋体"/>
          <w:bCs/>
          <w:sz w:val="24"/>
        </w:rPr>
      </w:pPr>
      <w:r>
        <w:rPr>
          <w:rFonts w:hint="eastAsia" w:ascii="宋体" w:hAnsi="宋体"/>
          <w:bCs/>
          <w:sz w:val="24"/>
        </w:rPr>
        <w:t xml:space="preserve"> （1）比选申请函；</w:t>
      </w:r>
    </w:p>
    <w:p>
      <w:pPr>
        <w:spacing w:line="400" w:lineRule="exact"/>
        <w:ind w:firstLine="480" w:firstLineChars="200"/>
        <w:rPr>
          <w:rFonts w:ascii="宋体" w:hAnsi="宋体"/>
          <w:sz w:val="24"/>
        </w:rPr>
      </w:pPr>
      <w:r>
        <w:rPr>
          <w:rFonts w:hint="eastAsia" w:ascii="宋体" w:hAnsi="宋体"/>
          <w:bCs/>
          <w:sz w:val="24"/>
        </w:rPr>
        <w:t xml:space="preserve"> （2）</w:t>
      </w:r>
      <w:r>
        <w:rPr>
          <w:rFonts w:hint="eastAsia" w:ascii="宋体" w:hAnsi="宋体"/>
          <w:sz w:val="24"/>
        </w:rPr>
        <w:t>①比选申请人为企业（包括合伙企业）、个体工商户的，提供统一社会信用代码的营业执照</w:t>
      </w:r>
      <w:r>
        <w:rPr>
          <w:rFonts w:ascii="宋体" w:hAnsi="宋体"/>
          <w:sz w:val="24"/>
        </w:rPr>
        <w:t>；</w:t>
      </w:r>
    </w:p>
    <w:p>
      <w:pPr>
        <w:spacing w:line="400" w:lineRule="exact"/>
        <w:ind w:firstLine="480" w:firstLineChars="200"/>
        <w:rPr>
          <w:rFonts w:ascii="宋体" w:hAnsi="宋体"/>
          <w:bCs/>
          <w:sz w:val="24"/>
        </w:rPr>
      </w:pPr>
      <w:r>
        <w:rPr>
          <w:rFonts w:hint="eastAsia" w:ascii="宋体" w:hAnsi="宋体"/>
          <w:bCs/>
          <w:sz w:val="24"/>
        </w:rPr>
        <w:t xml:space="preserve"> （3）法定代表人授权书原件；</w:t>
      </w:r>
    </w:p>
    <w:p>
      <w:pPr>
        <w:spacing w:line="400" w:lineRule="exact"/>
        <w:ind w:firstLine="480" w:firstLineChars="200"/>
        <w:rPr>
          <w:rFonts w:ascii="宋体" w:hAnsi="宋体"/>
          <w:bCs/>
          <w:sz w:val="24"/>
        </w:rPr>
      </w:pPr>
      <w:r>
        <w:rPr>
          <w:rFonts w:hint="eastAsia" w:ascii="宋体" w:hAnsi="宋体"/>
          <w:bCs/>
          <w:sz w:val="24"/>
        </w:rPr>
        <w:t xml:space="preserve"> （4）法定代表人和授权代表身份证复印件；</w:t>
      </w:r>
    </w:p>
    <w:p>
      <w:pPr>
        <w:spacing w:line="400" w:lineRule="exact"/>
        <w:ind w:firstLine="480" w:firstLineChars="200"/>
        <w:rPr>
          <w:rFonts w:ascii="宋体" w:hAnsi="宋体"/>
          <w:bCs/>
          <w:sz w:val="24"/>
        </w:rPr>
      </w:pPr>
      <w:r>
        <w:rPr>
          <w:rFonts w:hint="eastAsia" w:ascii="宋体" w:hAnsi="宋体"/>
          <w:bCs/>
          <w:sz w:val="24"/>
        </w:rPr>
        <w:t xml:space="preserve"> （5）证明比选申请人业绩和荣誉的有关材料；</w:t>
      </w:r>
    </w:p>
    <w:p>
      <w:pPr>
        <w:spacing w:line="400" w:lineRule="exact"/>
        <w:ind w:firstLine="480" w:firstLineChars="200"/>
        <w:rPr>
          <w:rFonts w:ascii="宋体" w:hAnsi="宋体"/>
          <w:bCs/>
          <w:sz w:val="24"/>
        </w:rPr>
      </w:pPr>
      <w:r>
        <w:rPr>
          <w:rFonts w:hint="eastAsia" w:ascii="宋体" w:hAnsi="宋体"/>
          <w:bCs/>
          <w:sz w:val="24"/>
        </w:rPr>
        <w:t xml:space="preserve"> （6）商务应答表；</w:t>
      </w:r>
    </w:p>
    <w:p>
      <w:pPr>
        <w:spacing w:line="400" w:lineRule="exact"/>
        <w:ind w:firstLine="480" w:firstLineChars="200"/>
        <w:rPr>
          <w:rFonts w:ascii="宋体" w:hAnsi="宋体"/>
          <w:bCs/>
          <w:sz w:val="24"/>
        </w:rPr>
      </w:pPr>
      <w:r>
        <w:rPr>
          <w:rFonts w:hint="eastAsia" w:ascii="宋体" w:hAnsi="宋体"/>
          <w:bCs/>
          <w:sz w:val="24"/>
        </w:rPr>
        <w:t xml:space="preserve"> （7）售后服务；</w:t>
      </w:r>
    </w:p>
    <w:p>
      <w:pPr>
        <w:spacing w:line="400" w:lineRule="exact"/>
        <w:ind w:firstLine="480" w:firstLineChars="200"/>
        <w:rPr>
          <w:rFonts w:ascii="宋体" w:hAnsi="宋体"/>
          <w:bCs/>
          <w:sz w:val="24"/>
        </w:rPr>
      </w:pPr>
      <w:r>
        <w:rPr>
          <w:rFonts w:hint="eastAsia" w:ascii="宋体" w:hAnsi="宋体"/>
          <w:bCs/>
          <w:sz w:val="24"/>
        </w:rPr>
        <w:t xml:space="preserve"> （8）比选申请人认为需要提供的文件和资料。</w:t>
      </w:r>
    </w:p>
    <w:p>
      <w:pPr>
        <w:spacing w:line="400" w:lineRule="exact"/>
        <w:ind w:left="2" w:leftChars="1" w:firstLine="482" w:firstLineChars="200"/>
        <w:rPr>
          <w:rFonts w:ascii="宋体" w:hAnsi="宋体"/>
          <w:bCs/>
          <w:sz w:val="24"/>
        </w:rPr>
      </w:pPr>
      <w:r>
        <w:rPr>
          <w:rFonts w:hint="eastAsia" w:ascii="宋体" w:hAnsi="宋体"/>
          <w:b/>
          <w:bCs/>
          <w:sz w:val="24"/>
        </w:rPr>
        <w:t>14.4其他部分：</w:t>
      </w:r>
      <w:r>
        <w:rPr>
          <w:rFonts w:hint="eastAsia" w:ascii="宋体" w:hAnsi="宋体"/>
          <w:bCs/>
          <w:sz w:val="24"/>
        </w:rPr>
        <w:t>比选申请人按照比选文件要求作出的其他应答和承诺。</w:t>
      </w:r>
    </w:p>
    <w:p>
      <w:pPr>
        <w:pStyle w:val="5"/>
        <w:tabs>
          <w:tab w:val="left" w:pos="3480"/>
        </w:tabs>
        <w:spacing w:line="400" w:lineRule="exact"/>
        <w:rPr>
          <w:rFonts w:ascii="宋体" w:hAnsi="宋体"/>
          <w:sz w:val="24"/>
        </w:rPr>
      </w:pPr>
      <w:bookmarkStart w:id="80" w:name="_Toc12834"/>
      <w:bookmarkStart w:id="81" w:name="_Toc31483"/>
      <w:r>
        <w:rPr>
          <w:rFonts w:hint="eastAsia" w:ascii="宋体" w:hAnsi="宋体"/>
          <w:sz w:val="24"/>
        </w:rPr>
        <w:t>15. 比选申请文件格式</w:t>
      </w:r>
      <w:bookmarkEnd w:id="80"/>
      <w:bookmarkEnd w:id="81"/>
    </w:p>
    <w:p>
      <w:pPr>
        <w:tabs>
          <w:tab w:val="left" w:pos="7665"/>
        </w:tabs>
        <w:spacing w:line="400" w:lineRule="exact"/>
        <w:ind w:left="13" w:leftChars="6" w:firstLine="480" w:firstLineChars="200"/>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.1 比选申请人应严格按照比选文件第三章中提供的“比选申请文件格式”填写相关内容。除明确允许比选申请人可以自行编写的外，比选申请人不得以“比选申请文件格式”规定之外的方式填写相关内容。</w:t>
      </w:r>
    </w:p>
    <w:p>
      <w:pPr>
        <w:tabs>
          <w:tab w:val="left" w:pos="7665"/>
        </w:tabs>
        <w:spacing w:line="400" w:lineRule="exact"/>
        <w:ind w:left="13" w:leftChars="6" w:firstLine="480" w:firstLineChars="200"/>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.2 对于没有格式要求的比选申请文件由比选申请人自行编写。</w:t>
      </w:r>
    </w:p>
    <w:p>
      <w:pPr>
        <w:pStyle w:val="5"/>
        <w:spacing w:line="400" w:lineRule="exact"/>
        <w:rPr>
          <w:rFonts w:ascii="宋体" w:hAnsi="宋体"/>
          <w:bCs w:val="0"/>
          <w:sz w:val="24"/>
        </w:rPr>
      </w:pPr>
      <w:bookmarkStart w:id="82" w:name="_Toc28457"/>
      <w:bookmarkStart w:id="83" w:name="_Toc31478"/>
      <w:r>
        <w:rPr>
          <w:rFonts w:hint="eastAsia" w:ascii="宋体" w:hAnsi="宋体"/>
          <w:bCs w:val="0"/>
          <w:sz w:val="24"/>
        </w:rPr>
        <w:t>16</w:t>
      </w:r>
      <w:r>
        <w:rPr>
          <w:rFonts w:hint="eastAsia" w:ascii="宋体" w:hAnsi="宋体"/>
          <w:sz w:val="24"/>
        </w:rPr>
        <w:t xml:space="preserve">. </w:t>
      </w:r>
      <w:r>
        <w:rPr>
          <w:rFonts w:hint="eastAsia" w:ascii="宋体" w:hAnsi="宋体"/>
          <w:bCs w:val="0"/>
          <w:sz w:val="24"/>
        </w:rPr>
        <w:t>比选有效期</w:t>
      </w:r>
      <w:bookmarkEnd w:id="82"/>
      <w:r>
        <w:rPr>
          <w:rFonts w:hint="eastAsia" w:ascii="宋体" w:hAnsi="宋体"/>
          <w:bCs w:val="0"/>
          <w:sz w:val="24"/>
        </w:rPr>
        <w:t>（实质性条件）</w:t>
      </w:r>
      <w:bookmarkEnd w:id="83"/>
    </w:p>
    <w:p>
      <w:pPr>
        <w:tabs>
          <w:tab w:val="left" w:pos="7665"/>
        </w:tabs>
        <w:spacing w:line="400" w:lineRule="exact"/>
        <w:ind w:left="13" w:leftChars="6" w:firstLine="480" w:firstLineChars="200"/>
        <w:rPr>
          <w:rFonts w:ascii="宋体" w:hAnsi="宋体"/>
          <w:sz w:val="24"/>
        </w:rPr>
      </w:pPr>
      <w:r>
        <w:rPr>
          <w:rFonts w:hint="eastAsia" w:ascii="宋体" w:hAnsi="宋体"/>
          <w:sz w:val="24"/>
        </w:rPr>
        <w:t>比选有效期为递交比选申请文件截止之日起6</w:t>
      </w:r>
      <w:r>
        <w:rPr>
          <w:rFonts w:ascii="宋体" w:hAnsi="宋体"/>
          <w:sz w:val="24"/>
        </w:rPr>
        <w:t>0日</w:t>
      </w:r>
      <w:r>
        <w:rPr>
          <w:rFonts w:hint="eastAsia" w:ascii="宋体" w:hAnsi="宋体"/>
          <w:sz w:val="24"/>
        </w:rPr>
        <w:t>，比选有效期短于此规定期限的为无效</w:t>
      </w:r>
      <w:r>
        <w:rPr>
          <w:rFonts w:ascii="宋体" w:hAnsi="宋体"/>
          <w:sz w:val="24"/>
        </w:rPr>
        <w:t>比选申请人</w:t>
      </w:r>
      <w:r>
        <w:rPr>
          <w:rFonts w:hint="eastAsia" w:ascii="宋体" w:hAnsi="宋体"/>
          <w:sz w:val="24"/>
        </w:rPr>
        <w:t>和</w:t>
      </w:r>
      <w:r>
        <w:rPr>
          <w:rFonts w:ascii="宋体" w:hAnsi="宋体"/>
          <w:sz w:val="24"/>
        </w:rPr>
        <w:t>文件</w:t>
      </w:r>
      <w:r>
        <w:rPr>
          <w:rFonts w:hint="eastAsia" w:ascii="宋体" w:hAnsi="宋体"/>
          <w:sz w:val="24"/>
        </w:rPr>
        <w:t>。</w:t>
      </w:r>
    </w:p>
    <w:p>
      <w:pPr>
        <w:pStyle w:val="5"/>
        <w:spacing w:line="400" w:lineRule="exact"/>
        <w:rPr>
          <w:rFonts w:ascii="宋体" w:hAnsi="宋体"/>
          <w:bCs w:val="0"/>
          <w:sz w:val="24"/>
        </w:rPr>
      </w:pPr>
      <w:bookmarkStart w:id="84" w:name="_Toc5960"/>
      <w:bookmarkStart w:id="85" w:name="_Toc6966"/>
      <w:r>
        <w:rPr>
          <w:rFonts w:hint="eastAsia" w:ascii="宋体" w:hAnsi="宋体"/>
          <w:bCs w:val="0"/>
          <w:sz w:val="24"/>
        </w:rPr>
        <w:t>17</w:t>
      </w:r>
      <w:r>
        <w:rPr>
          <w:rFonts w:hint="eastAsia" w:ascii="宋体" w:hAnsi="宋体"/>
          <w:sz w:val="24"/>
        </w:rPr>
        <w:t xml:space="preserve">. </w:t>
      </w:r>
      <w:r>
        <w:rPr>
          <w:rFonts w:hint="eastAsia" w:ascii="宋体" w:hAnsi="宋体"/>
          <w:bCs w:val="0"/>
          <w:sz w:val="24"/>
        </w:rPr>
        <w:t>比选申请文件的印制和签署</w:t>
      </w:r>
      <w:bookmarkEnd w:id="84"/>
      <w:bookmarkEnd w:id="85"/>
    </w:p>
    <w:p>
      <w:pPr>
        <w:tabs>
          <w:tab w:val="left" w:pos="1080"/>
        </w:tabs>
        <w:spacing w:line="400" w:lineRule="exact"/>
        <w:ind w:firstLine="460" w:firstLineChars="192"/>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 比选申请人应当准备比选申请文件正本1份、副本2份和相应的电子文档U盘1份。比选申请文件的正本和副本应在其封面右上角清楚地标明“正本”或“副本”字样。若正本和副本有不一致的内容，以正本书面比选申请文件为准。</w:t>
      </w:r>
    </w:p>
    <w:p>
      <w:pPr>
        <w:tabs>
          <w:tab w:val="left" w:pos="1095"/>
        </w:tabs>
        <w:spacing w:line="400" w:lineRule="exact"/>
        <w:ind w:firstLine="460" w:firstLineChars="192"/>
        <w:rPr>
          <w:rFonts w:ascii="宋体" w:hAnsi="宋体"/>
          <w:sz w:val="24"/>
        </w:rPr>
      </w:pPr>
      <w:r>
        <w:rPr>
          <w:rFonts w:hint="eastAsia" w:ascii="宋体" w:hAnsi="宋体"/>
          <w:sz w:val="24"/>
        </w:rPr>
        <w:t>17.2 比选申请文件的正本和副本均需打印或用不褪色、不变质的墨水书写，并由比选申请人的法定代表人或其授权代表在规定签章处签字和盖章。比选申请文件副本可采用正本的复印件，电子文档采用U盘制作。</w:t>
      </w:r>
    </w:p>
    <w:p>
      <w:pPr>
        <w:tabs>
          <w:tab w:val="left" w:pos="1095"/>
        </w:tabs>
        <w:spacing w:line="400" w:lineRule="exact"/>
        <w:ind w:firstLine="460" w:firstLineChars="192"/>
        <w:rPr>
          <w:rFonts w:ascii="宋体" w:hAnsi="宋体"/>
          <w:sz w:val="24"/>
        </w:rPr>
      </w:pPr>
      <w:r>
        <w:rPr>
          <w:rFonts w:hint="eastAsia" w:ascii="宋体" w:hAnsi="宋体"/>
          <w:sz w:val="24"/>
        </w:rPr>
        <w:t>17.3 比选申请文件的打印和书写应清楚工整，任何行间插字、涂改或增删，必须由比选申请人的法定代表人或其授权代表签字或盖个人印鉴。字迹潦草、表达不清或可能导致非唯一理解的比选申请文件可能视为无效比选申请人</w:t>
      </w:r>
      <w:r>
        <w:rPr>
          <w:rFonts w:ascii="宋体" w:hAnsi="宋体"/>
          <w:sz w:val="24"/>
        </w:rPr>
        <w:t>和文件</w:t>
      </w:r>
      <w:r>
        <w:rPr>
          <w:rFonts w:hint="eastAsia" w:ascii="宋体" w:hAnsi="宋体"/>
          <w:sz w:val="24"/>
        </w:rPr>
        <w:t>。</w:t>
      </w:r>
    </w:p>
    <w:p>
      <w:pPr>
        <w:tabs>
          <w:tab w:val="left" w:pos="1080"/>
        </w:tabs>
        <w:spacing w:line="400" w:lineRule="exact"/>
        <w:ind w:firstLine="460" w:firstLineChars="192"/>
        <w:rPr>
          <w:rFonts w:ascii="宋体" w:hAnsi="宋体"/>
          <w:sz w:val="24"/>
        </w:rPr>
      </w:pPr>
      <w:r>
        <w:rPr>
          <w:rFonts w:hint="eastAsia" w:ascii="宋体" w:hAnsi="宋体"/>
          <w:sz w:val="24"/>
        </w:rPr>
        <w:t>17.4 比选申请文件正本和副本必须装订成册并编码。</w:t>
      </w:r>
    </w:p>
    <w:p>
      <w:pPr>
        <w:tabs>
          <w:tab w:val="left" w:pos="1080"/>
        </w:tabs>
        <w:spacing w:line="400" w:lineRule="exact"/>
        <w:ind w:firstLine="460" w:firstLineChars="192"/>
        <w:rPr>
          <w:rFonts w:ascii="宋体" w:hAnsi="宋体"/>
          <w:sz w:val="24"/>
        </w:rPr>
      </w:pPr>
      <w:r>
        <w:rPr>
          <w:rFonts w:hint="eastAsia" w:ascii="宋体" w:hAnsi="宋体"/>
          <w:sz w:val="24"/>
        </w:rPr>
        <w:t>17.5 投比选申请标文件应根据比选文件的要求制作，签署、盖章和内容应完整，如有遗漏，将被视为无效比选申请人</w:t>
      </w:r>
      <w:r>
        <w:rPr>
          <w:rFonts w:ascii="宋体" w:hAnsi="宋体"/>
          <w:sz w:val="24"/>
        </w:rPr>
        <w:t>和文件</w:t>
      </w:r>
      <w:r>
        <w:rPr>
          <w:rFonts w:hint="eastAsia" w:ascii="宋体" w:hAnsi="宋体"/>
          <w:sz w:val="24"/>
        </w:rPr>
        <w:t>。</w:t>
      </w:r>
    </w:p>
    <w:p>
      <w:pPr>
        <w:tabs>
          <w:tab w:val="left" w:pos="1080"/>
        </w:tabs>
        <w:spacing w:line="400" w:lineRule="exact"/>
        <w:ind w:firstLine="460" w:firstLineChars="192"/>
        <w:rPr>
          <w:rFonts w:ascii="宋体" w:hAnsi="宋体"/>
          <w:sz w:val="24"/>
        </w:rPr>
      </w:pPr>
      <w:r>
        <w:rPr>
          <w:rFonts w:hint="eastAsia" w:ascii="宋体" w:hAnsi="宋体"/>
          <w:sz w:val="24"/>
        </w:rPr>
        <w:t>17.6 比选申请文件统一用</w:t>
      </w:r>
      <w:r>
        <w:rPr>
          <w:rFonts w:ascii="宋体" w:hAnsi="宋体"/>
          <w:sz w:val="24"/>
        </w:rPr>
        <w:t>A4</w:t>
      </w:r>
      <w:r>
        <w:rPr>
          <w:rFonts w:hint="eastAsia" w:ascii="宋体" w:hAnsi="宋体"/>
          <w:sz w:val="24"/>
        </w:rPr>
        <w:t>幅面纸印制。</w:t>
      </w:r>
    </w:p>
    <w:p>
      <w:pPr>
        <w:pStyle w:val="5"/>
        <w:spacing w:line="400" w:lineRule="exact"/>
        <w:rPr>
          <w:rFonts w:ascii="宋体" w:hAnsi="宋体"/>
          <w:sz w:val="24"/>
          <w:szCs w:val="24"/>
        </w:rPr>
      </w:pPr>
      <w:bookmarkStart w:id="86" w:name="_Toc11609"/>
      <w:bookmarkStart w:id="87" w:name="_Toc12268"/>
      <w:r>
        <w:rPr>
          <w:rFonts w:hint="eastAsia" w:ascii="宋体" w:hAnsi="宋体"/>
          <w:bCs w:val="0"/>
          <w:sz w:val="24"/>
          <w:szCs w:val="24"/>
        </w:rPr>
        <w:t>18</w:t>
      </w:r>
      <w:r>
        <w:rPr>
          <w:rFonts w:hint="eastAsia" w:ascii="宋体" w:hAnsi="宋体"/>
          <w:sz w:val="24"/>
        </w:rPr>
        <w:t xml:space="preserve">. </w:t>
      </w:r>
      <w:r>
        <w:rPr>
          <w:rFonts w:hint="eastAsia" w:ascii="宋体" w:hAnsi="宋体"/>
          <w:sz w:val="24"/>
          <w:szCs w:val="24"/>
        </w:rPr>
        <w:t>比选申请文件的密封和标注</w:t>
      </w:r>
      <w:bookmarkEnd w:id="86"/>
      <w:bookmarkEnd w:id="87"/>
    </w:p>
    <w:p>
      <w:pPr>
        <w:tabs>
          <w:tab w:val="left" w:pos="1080"/>
        </w:tabs>
        <w:spacing w:line="400" w:lineRule="exact"/>
        <w:rPr>
          <w:rFonts w:ascii="宋体" w:hAnsi="宋体"/>
          <w:sz w:val="24"/>
        </w:rPr>
      </w:pPr>
      <w:r>
        <w:rPr>
          <w:rFonts w:hint="eastAsia" w:ascii="宋体" w:hAnsi="宋体"/>
          <w:sz w:val="24"/>
        </w:rPr>
        <w:t>18.1 比选申请人应在比选申请文件正本和所有副本的封面上注明比选申请人名称、项目编号、项目名称及分包号（如有分包）。</w:t>
      </w:r>
    </w:p>
    <w:p>
      <w:pPr>
        <w:tabs>
          <w:tab w:val="left" w:pos="1080"/>
        </w:tabs>
        <w:spacing w:line="400" w:lineRule="exact"/>
        <w:ind w:firstLine="460" w:firstLineChars="192"/>
        <w:rPr>
          <w:rFonts w:ascii="宋体" w:hAnsi="宋体"/>
          <w:sz w:val="24"/>
        </w:rPr>
      </w:pPr>
      <w:r>
        <w:rPr>
          <w:rFonts w:hint="eastAsia" w:ascii="宋体" w:hAnsi="宋体"/>
          <w:sz w:val="24"/>
        </w:rPr>
        <w:t>18.2 比选申请文件（</w:t>
      </w:r>
      <w:r>
        <w:rPr>
          <w:rFonts w:hint="eastAsia" w:ascii="宋体" w:hAnsi="宋体"/>
          <w:b/>
          <w:sz w:val="24"/>
        </w:rPr>
        <w:t>正本、所有副本</w:t>
      </w:r>
      <w:r>
        <w:rPr>
          <w:rFonts w:hint="eastAsia" w:ascii="宋体" w:hAnsi="宋体"/>
          <w:sz w:val="24"/>
        </w:rPr>
        <w:t>）和开标一览表、电子文档，应分别封装于不同的密封袋内，密封袋上应分别标上“比选申请文件”、“开标一览表”“电子文档”字样，并注明比选申请人名称、项目编号、项目名称及分包号（如有分包）。</w:t>
      </w:r>
    </w:p>
    <w:p>
      <w:pPr>
        <w:tabs>
          <w:tab w:val="left" w:pos="1080"/>
        </w:tabs>
        <w:spacing w:line="400" w:lineRule="exact"/>
        <w:ind w:firstLine="460" w:firstLineChars="192"/>
        <w:rPr>
          <w:rFonts w:ascii="宋体" w:hAnsi="宋体"/>
          <w:sz w:val="24"/>
        </w:rPr>
      </w:pPr>
      <w:r>
        <w:rPr>
          <w:rFonts w:hint="eastAsia" w:ascii="宋体" w:hAnsi="宋体"/>
          <w:sz w:val="24"/>
        </w:rPr>
        <w:t>18.3 所有外层密封袋的封口处应粘贴牢固，并加盖密封章</w:t>
      </w:r>
      <w:r>
        <w:rPr>
          <w:rFonts w:hint="eastAsia" w:ascii="宋体" w:hAnsi="宋体"/>
          <w:b/>
          <w:sz w:val="24"/>
        </w:rPr>
        <w:t>或</w:t>
      </w:r>
      <w:r>
        <w:rPr>
          <w:rFonts w:hint="eastAsia" w:ascii="宋体" w:hAnsi="宋体"/>
          <w:sz w:val="24"/>
        </w:rPr>
        <w:t>比选申请人印章。</w:t>
      </w:r>
    </w:p>
    <w:p>
      <w:pPr>
        <w:tabs>
          <w:tab w:val="left" w:pos="1080"/>
        </w:tabs>
        <w:spacing w:line="400" w:lineRule="exact"/>
        <w:rPr>
          <w:rFonts w:ascii="宋体" w:hAnsi="宋体"/>
          <w:sz w:val="24"/>
        </w:rPr>
      </w:pPr>
      <w:r>
        <w:rPr>
          <w:rFonts w:hint="eastAsia" w:ascii="宋体" w:hAnsi="宋体"/>
          <w:sz w:val="24"/>
        </w:rPr>
        <w:t xml:space="preserve">    18.4 未按以上要求进行密封和标注的比选申请文件将被拒绝。</w:t>
      </w:r>
    </w:p>
    <w:p>
      <w:pPr>
        <w:pStyle w:val="5"/>
        <w:spacing w:line="400" w:lineRule="exact"/>
        <w:rPr>
          <w:rFonts w:ascii="宋体" w:hAnsi="宋体"/>
          <w:bCs w:val="0"/>
          <w:sz w:val="24"/>
          <w:szCs w:val="24"/>
        </w:rPr>
      </w:pPr>
      <w:bookmarkStart w:id="88" w:name="_Toc8279"/>
      <w:bookmarkStart w:id="89" w:name="_Toc24653"/>
      <w:r>
        <w:rPr>
          <w:rFonts w:hint="eastAsia" w:ascii="宋体" w:hAnsi="宋体"/>
          <w:sz w:val="24"/>
        </w:rPr>
        <w:t xml:space="preserve">19. </w:t>
      </w:r>
      <w:r>
        <w:rPr>
          <w:rFonts w:hint="eastAsia" w:ascii="宋体" w:hAnsi="宋体"/>
          <w:bCs w:val="0"/>
          <w:sz w:val="24"/>
          <w:szCs w:val="24"/>
        </w:rPr>
        <w:t>比选申请文件的递交</w:t>
      </w:r>
      <w:bookmarkEnd w:id="88"/>
      <w:bookmarkEnd w:id="89"/>
    </w:p>
    <w:p>
      <w:pPr>
        <w:tabs>
          <w:tab w:val="left" w:pos="1095"/>
        </w:tabs>
        <w:spacing w:line="400" w:lineRule="exact"/>
        <w:ind w:firstLine="460" w:firstLineChars="192"/>
        <w:rPr>
          <w:rFonts w:ascii="宋体" w:hAnsi="宋体"/>
          <w:sz w:val="24"/>
        </w:rPr>
      </w:pPr>
      <w:r>
        <w:rPr>
          <w:rFonts w:hint="eastAsia" w:ascii="宋体" w:hAnsi="宋体"/>
          <w:sz w:val="24"/>
        </w:rPr>
        <w:t>19.1 比选申请人应在比选文件规定的比选截止时间前，将比选申请文件按比选申请须知要求密封后送达比选地点。比选截止时间以后送达的比选申请文件将被拒绝。</w:t>
      </w:r>
    </w:p>
    <w:p>
      <w:pPr>
        <w:pStyle w:val="6"/>
        <w:spacing w:line="400" w:lineRule="exact"/>
        <w:ind w:firstLine="480"/>
        <w:rPr>
          <w:rFonts w:ascii="宋体" w:hAnsi="宋体"/>
          <w:sz w:val="24"/>
        </w:rPr>
      </w:pPr>
      <w:r>
        <w:rPr>
          <w:rFonts w:hint="eastAsia" w:ascii="宋体" w:hAnsi="宋体"/>
          <w:sz w:val="24"/>
        </w:rPr>
        <w:t>19.</w:t>
      </w:r>
      <w:r>
        <w:rPr>
          <w:rFonts w:ascii="宋体" w:hAnsi="宋体"/>
          <w:sz w:val="24"/>
        </w:rPr>
        <w:t>2</w:t>
      </w:r>
      <w:r>
        <w:rPr>
          <w:rFonts w:hint="eastAsia" w:ascii="宋体" w:hAnsi="宋体"/>
          <w:sz w:val="24"/>
        </w:rPr>
        <w:t xml:space="preserve"> 本次比选不接受邮寄的比选申请文件。</w:t>
      </w:r>
    </w:p>
    <w:p>
      <w:pPr>
        <w:pStyle w:val="5"/>
        <w:spacing w:line="400" w:lineRule="exact"/>
        <w:rPr>
          <w:rFonts w:ascii="宋体" w:hAnsi="宋体"/>
          <w:bCs w:val="0"/>
          <w:sz w:val="24"/>
          <w:szCs w:val="24"/>
        </w:rPr>
      </w:pPr>
      <w:bookmarkStart w:id="90" w:name="_Toc18090"/>
      <w:bookmarkStart w:id="91" w:name="_Toc22180"/>
      <w:r>
        <w:rPr>
          <w:rFonts w:hint="eastAsia" w:ascii="宋体" w:hAnsi="宋体"/>
          <w:bCs w:val="0"/>
          <w:sz w:val="24"/>
          <w:szCs w:val="24"/>
        </w:rPr>
        <w:t>20</w:t>
      </w:r>
      <w:r>
        <w:rPr>
          <w:rFonts w:hint="eastAsia" w:ascii="宋体" w:hAnsi="宋体"/>
          <w:sz w:val="24"/>
        </w:rPr>
        <w:t xml:space="preserve">. </w:t>
      </w:r>
      <w:r>
        <w:rPr>
          <w:rFonts w:hint="eastAsia" w:ascii="宋体" w:hAnsi="宋体"/>
          <w:bCs w:val="0"/>
          <w:sz w:val="24"/>
          <w:szCs w:val="24"/>
        </w:rPr>
        <w:t>比选申请文件的修改和撤回</w:t>
      </w:r>
      <w:bookmarkEnd w:id="90"/>
      <w:bookmarkEnd w:id="91"/>
    </w:p>
    <w:p>
      <w:pPr>
        <w:spacing w:line="400" w:lineRule="exact"/>
        <w:ind w:firstLine="470" w:firstLineChars="196"/>
        <w:rPr>
          <w:rFonts w:ascii="宋体" w:hAnsi="宋体"/>
          <w:sz w:val="24"/>
        </w:rPr>
      </w:pPr>
      <w:r>
        <w:rPr>
          <w:rFonts w:hint="eastAsia" w:ascii="宋体" w:hAnsi="宋体"/>
          <w:sz w:val="24"/>
        </w:rPr>
        <w:t>20</w:t>
      </w:r>
      <w:r>
        <w:rPr>
          <w:rFonts w:ascii="宋体" w:hAnsi="宋体"/>
          <w:sz w:val="24"/>
        </w:rPr>
        <w:t>.</w:t>
      </w:r>
      <w:r>
        <w:rPr>
          <w:rFonts w:hint="eastAsia" w:ascii="宋体" w:hAnsi="宋体"/>
          <w:sz w:val="24"/>
        </w:rPr>
        <w:t>1 比选申请人在递交了比选申请文件后，可以修改或撤回其比选申请文件，但必须在规定的比选截止时间前，以书面形式通知比选代理机构。</w:t>
      </w:r>
    </w:p>
    <w:p>
      <w:pPr>
        <w:spacing w:line="400" w:lineRule="exact"/>
        <w:ind w:firstLine="470" w:firstLineChars="196"/>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 xml:space="preserve"> 比选申请人的修改书或撤回通知书，应由其法定代表人或授权代表签署并盖单位印章。</w:t>
      </w:r>
    </w:p>
    <w:p>
      <w:pPr>
        <w:spacing w:line="400" w:lineRule="exact"/>
        <w:ind w:firstLine="480"/>
        <w:rPr>
          <w:rFonts w:ascii="宋体" w:hAnsi="宋体"/>
          <w:sz w:val="24"/>
        </w:rPr>
      </w:pPr>
      <w:r>
        <w:rPr>
          <w:rFonts w:hint="eastAsia" w:ascii="宋体" w:hAnsi="宋体"/>
          <w:sz w:val="24"/>
        </w:rPr>
        <w:t>20</w:t>
      </w:r>
      <w:r>
        <w:rPr>
          <w:rFonts w:ascii="宋体" w:hAnsi="宋体"/>
          <w:sz w:val="24"/>
        </w:rPr>
        <w:t>.3</w:t>
      </w:r>
      <w:r>
        <w:rPr>
          <w:rFonts w:hint="eastAsia" w:ascii="宋体" w:hAnsi="宋体"/>
          <w:sz w:val="24"/>
        </w:rPr>
        <w:t xml:space="preserve"> 在比选截止时间之后，比选申请人不得对其递交的比选申请文件做任何修改或撤回比选申请文件。</w:t>
      </w:r>
    </w:p>
    <w:p>
      <w:pPr>
        <w:spacing w:line="400" w:lineRule="exact"/>
        <w:ind w:firstLine="480"/>
        <w:rPr>
          <w:rFonts w:ascii="宋体" w:hAnsi="宋体"/>
          <w:sz w:val="24"/>
        </w:rPr>
      </w:pPr>
      <w:r>
        <w:rPr>
          <w:rFonts w:hint="eastAsia" w:ascii="宋体" w:hAnsi="宋体"/>
          <w:sz w:val="24"/>
        </w:rPr>
        <w:t>20.4 比选申请文件中如果出现计算上或累加上的算术错误，可按以下原则进行修改：</w:t>
      </w:r>
    </w:p>
    <w:p>
      <w:pPr>
        <w:spacing w:line="400" w:lineRule="exact"/>
        <w:ind w:firstLine="480"/>
        <w:rPr>
          <w:rFonts w:ascii="宋体" w:hAnsi="宋体"/>
          <w:sz w:val="24"/>
        </w:rPr>
      </w:pPr>
      <w:r>
        <w:rPr>
          <w:rFonts w:hint="eastAsia" w:ascii="宋体" w:hAnsi="宋体"/>
          <w:sz w:val="24"/>
        </w:rPr>
        <w:t>（1）用数字表示的金额和用文字表示的金额不一致，应以文字表示的金额为准。</w:t>
      </w:r>
    </w:p>
    <w:p>
      <w:pPr>
        <w:spacing w:line="400" w:lineRule="exact"/>
        <w:ind w:firstLine="480"/>
        <w:rPr>
          <w:rFonts w:ascii="宋体" w:hAnsi="宋体"/>
          <w:sz w:val="24"/>
        </w:rPr>
      </w:pPr>
      <w:r>
        <w:rPr>
          <w:rFonts w:hint="eastAsia" w:ascii="宋体" w:hAnsi="宋体"/>
          <w:sz w:val="24"/>
        </w:rPr>
        <w:t>（2）单价和数量的乘积与总价不一致时，以单价为准，并修正总价。</w:t>
      </w:r>
    </w:p>
    <w:p>
      <w:pPr>
        <w:spacing w:line="400" w:lineRule="exact"/>
        <w:ind w:firstLine="480"/>
        <w:rPr>
          <w:rFonts w:ascii="宋体" w:hAnsi="宋体"/>
          <w:sz w:val="24"/>
        </w:rPr>
      </w:pPr>
      <w:r>
        <w:rPr>
          <w:rFonts w:hint="eastAsia" w:ascii="宋体" w:hAnsi="宋体"/>
          <w:sz w:val="24"/>
        </w:rPr>
        <w:t>（3）单价金额小数点有明显错误的，以总价为准，修正单价。</w:t>
      </w:r>
    </w:p>
    <w:p>
      <w:pPr>
        <w:spacing w:line="400" w:lineRule="exact"/>
        <w:ind w:firstLine="480"/>
        <w:rPr>
          <w:rFonts w:ascii="宋体" w:hAnsi="宋体"/>
          <w:sz w:val="24"/>
        </w:rPr>
      </w:pPr>
      <w:r>
        <w:rPr>
          <w:rFonts w:hint="eastAsia" w:ascii="宋体" w:hAnsi="宋体"/>
          <w:sz w:val="24"/>
        </w:rPr>
        <w:t>按上述修正错误的方法调整的比选报价对比选申请人具有约束力。如果比选申请人不接受修正后的价格，其比选申请将被拒绝。</w:t>
      </w:r>
    </w:p>
    <w:p>
      <w:pPr>
        <w:pStyle w:val="4"/>
        <w:spacing w:before="480" w:line="400" w:lineRule="exact"/>
        <w:jc w:val="center"/>
      </w:pPr>
      <w:bookmarkStart w:id="92" w:name="_Toc14809"/>
      <w:bookmarkStart w:id="93" w:name="_Toc9090"/>
      <w:r>
        <w:rPr>
          <w:rFonts w:hint="eastAsia"/>
          <w:sz w:val="28"/>
        </w:rPr>
        <w:t>五、开标和成交</w:t>
      </w:r>
      <w:bookmarkEnd w:id="92"/>
      <w:bookmarkEnd w:id="93"/>
    </w:p>
    <w:p>
      <w:pPr>
        <w:pStyle w:val="5"/>
        <w:spacing w:line="415" w:lineRule="auto"/>
        <w:rPr>
          <w:rFonts w:ascii="宋体" w:hAnsi="宋体"/>
        </w:rPr>
      </w:pPr>
      <w:bookmarkStart w:id="94" w:name="_Toc9385"/>
      <w:bookmarkStart w:id="95" w:name="_Toc31035"/>
      <w:bookmarkStart w:id="96" w:name="_Toc11793"/>
      <w:bookmarkStart w:id="97" w:name="_Toc16806"/>
      <w:bookmarkStart w:id="98" w:name="_Toc28005"/>
      <w:bookmarkStart w:id="99" w:name="_Toc24169"/>
      <w:bookmarkStart w:id="100" w:name="_Toc369265520"/>
      <w:bookmarkStart w:id="101" w:name="_Toc18433"/>
      <w:bookmarkStart w:id="102" w:name="_Toc6261"/>
      <w:bookmarkStart w:id="103" w:name="_Toc23975"/>
      <w:bookmarkStart w:id="104" w:name="_Toc30681"/>
      <w:bookmarkStart w:id="105" w:name="_Toc6733"/>
      <w:r>
        <w:rPr>
          <w:rFonts w:hint="eastAsia" w:ascii="宋体" w:hAnsi="宋体"/>
          <w:sz w:val="24"/>
          <w:szCs w:val="24"/>
        </w:rPr>
        <w:t>21</w:t>
      </w:r>
      <w:r>
        <w:rPr>
          <w:rFonts w:hint="eastAsia" w:ascii="宋体" w:hAnsi="宋体"/>
        </w:rPr>
        <w:t>．</w:t>
      </w:r>
      <w:r>
        <w:rPr>
          <w:rFonts w:hint="eastAsia" w:ascii="宋体" w:hAnsi="宋体"/>
          <w:sz w:val="24"/>
          <w:szCs w:val="24"/>
        </w:rPr>
        <w:t>开标</w:t>
      </w:r>
      <w:bookmarkEnd w:id="94"/>
      <w:bookmarkEnd w:id="95"/>
      <w:bookmarkEnd w:id="96"/>
      <w:bookmarkEnd w:id="97"/>
      <w:bookmarkEnd w:id="98"/>
      <w:bookmarkEnd w:id="99"/>
      <w:bookmarkEnd w:id="100"/>
      <w:bookmarkEnd w:id="101"/>
      <w:bookmarkEnd w:id="102"/>
      <w:bookmarkEnd w:id="103"/>
      <w:bookmarkEnd w:id="104"/>
      <w:bookmarkEnd w:id="105"/>
    </w:p>
    <w:p>
      <w:pPr>
        <w:spacing w:before="120" w:line="400" w:lineRule="exact"/>
        <w:ind w:firstLine="480" w:firstLineChars="200"/>
        <w:rPr>
          <w:rFonts w:ascii="宋体" w:hAnsi="宋体"/>
          <w:sz w:val="24"/>
        </w:rPr>
      </w:pPr>
      <w:bookmarkStart w:id="106" w:name="_Toc361754273"/>
      <w:bookmarkStart w:id="107" w:name="_Toc361753961"/>
      <w:bookmarkStart w:id="108" w:name="_Toc217446058"/>
      <w:bookmarkStart w:id="109" w:name="_Toc369265521"/>
      <w:r>
        <w:rPr>
          <w:rFonts w:hint="eastAsia" w:ascii="宋体" w:hAnsi="宋体"/>
          <w:sz w:val="24"/>
        </w:rPr>
        <w:t>21.1 开标在比选文件规定的时间和地点公开进行，采购人、比选申请人须派代表参加并签到以证明其出席。开标由采购代理机构主持，采购人、比选申请人代表参加。评标专家不参加开标活动。</w:t>
      </w:r>
    </w:p>
    <w:p>
      <w:pPr>
        <w:spacing w:line="400" w:lineRule="exact"/>
        <w:ind w:firstLine="480" w:firstLineChars="200"/>
        <w:rPr>
          <w:rFonts w:ascii="宋体" w:hAnsi="宋体"/>
          <w:sz w:val="24"/>
        </w:rPr>
      </w:pPr>
      <w:r>
        <w:rPr>
          <w:rFonts w:hint="eastAsia" w:ascii="宋体" w:hAnsi="宋体"/>
          <w:sz w:val="24"/>
        </w:rPr>
        <w:t>21.2 开标时，可能根据具体情况邀请有关监督管理部门对开标活动进行现场监督。</w:t>
      </w:r>
    </w:p>
    <w:p>
      <w:pPr>
        <w:spacing w:line="400" w:lineRule="exact"/>
        <w:ind w:firstLine="480" w:firstLineChars="200"/>
        <w:rPr>
          <w:rFonts w:ascii="宋体" w:hAnsi="宋体"/>
          <w:sz w:val="24"/>
        </w:rPr>
      </w:pPr>
      <w:r>
        <w:rPr>
          <w:rFonts w:hint="eastAsia" w:ascii="宋体" w:hAnsi="宋体"/>
          <w:sz w:val="24"/>
        </w:rPr>
        <w:t>21.3 开标时，由比选申请人或者其推选的代表先检查其自己递交的比选申请文件的密封情况，经确认无误后，由招标工作人员将比选申请人单独递交的“开标一览表”当众拆封，并由唱标人员按照比选文件规定的内容进行宣读。</w:t>
      </w:r>
    </w:p>
    <w:p>
      <w:pPr>
        <w:spacing w:line="400" w:lineRule="exact"/>
        <w:ind w:firstLine="480" w:firstLineChars="200"/>
        <w:rPr>
          <w:rFonts w:ascii="宋体" w:hAnsi="宋体"/>
          <w:sz w:val="24"/>
        </w:rPr>
      </w:pPr>
      <w:r>
        <w:rPr>
          <w:rFonts w:hint="eastAsia" w:ascii="宋体" w:hAnsi="宋体"/>
          <w:sz w:val="24"/>
        </w:rPr>
        <w:t>比选申请人或者其推选的代表确认比选申请文件情况，仅限于确认其自己递交的比选申请文件的密封情况，不代表对其他比选申请人的比选申请文件的密封情况确认。比选申请人或者其推选的代表对其他比选申请人的比选申请文件密封情况有异议的，可以当场反映开标主持人或者现场监督人员，要求开标现场记录人员予以记录，并在评标时予以认定处理，但不得干扰、阻挠开标工作的正常进行。</w:t>
      </w:r>
    </w:p>
    <w:p>
      <w:pPr>
        <w:spacing w:line="400" w:lineRule="exact"/>
        <w:ind w:firstLine="480" w:firstLineChars="200"/>
        <w:rPr>
          <w:rFonts w:ascii="宋体" w:hAnsi="宋体"/>
          <w:sz w:val="24"/>
        </w:rPr>
      </w:pPr>
      <w:r>
        <w:rPr>
          <w:rFonts w:hint="eastAsia" w:ascii="宋体" w:hAnsi="宋体"/>
          <w:sz w:val="24"/>
        </w:rPr>
        <w:t>21.4 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ascii="宋体" w:hAnsi="宋体"/>
          <w:sz w:val="24"/>
        </w:rPr>
      </w:pPr>
      <w:r>
        <w:rPr>
          <w:rFonts w:hint="eastAsia" w:ascii="宋体" w:hAnsi="宋体"/>
          <w:sz w:val="24"/>
        </w:rPr>
        <w:t>21.5 比选申请文件中相关内容与“开标一览表”不一致的，以“开标一览表”为准。对不同文字文本比选申请文件的解释发生异议的，以中文文本为准。</w:t>
      </w:r>
    </w:p>
    <w:p>
      <w:pPr>
        <w:spacing w:before="120" w:line="400" w:lineRule="exact"/>
        <w:ind w:firstLine="480" w:firstLineChars="200"/>
        <w:rPr>
          <w:rFonts w:ascii="宋体" w:hAnsi="宋体"/>
          <w:sz w:val="24"/>
        </w:rPr>
      </w:pPr>
      <w:r>
        <w:rPr>
          <w:rFonts w:hint="eastAsia" w:ascii="宋体" w:hAnsi="宋体"/>
          <w:sz w:val="24"/>
        </w:rPr>
        <w:t>21.6 所有唱标完毕，如比选申请人代表对宣读的“开标一览表”上的内容有异议的，应在获得开标会主持人同意后当场提出。如确实属于唱标人员宣读错了的，经现场监督人员核实后，当场予以更正。</w:t>
      </w:r>
    </w:p>
    <w:p>
      <w:pPr>
        <w:pStyle w:val="5"/>
        <w:spacing w:line="415" w:lineRule="auto"/>
        <w:rPr>
          <w:rFonts w:ascii="宋体" w:hAnsi="宋体"/>
          <w:sz w:val="24"/>
          <w:szCs w:val="24"/>
        </w:rPr>
      </w:pPr>
      <w:bookmarkStart w:id="110" w:name="_Toc13329"/>
      <w:bookmarkStart w:id="111" w:name="_Toc20931"/>
      <w:bookmarkStart w:id="112" w:name="_Toc3071"/>
      <w:bookmarkStart w:id="113" w:name="_Toc18848"/>
      <w:bookmarkStart w:id="114" w:name="_Toc22443"/>
      <w:bookmarkStart w:id="115" w:name="_Toc27384"/>
      <w:bookmarkStart w:id="116" w:name="_Toc17613"/>
      <w:bookmarkStart w:id="117" w:name="_Toc14204"/>
      <w:bookmarkStart w:id="118" w:name="_Toc22719"/>
      <w:bookmarkStart w:id="119" w:name="_Toc26584"/>
      <w:bookmarkStart w:id="120" w:name="_Toc22969"/>
      <w:r>
        <w:rPr>
          <w:rFonts w:hint="eastAsia" w:ascii="宋体" w:hAnsi="宋体"/>
          <w:sz w:val="24"/>
          <w:szCs w:val="24"/>
        </w:rPr>
        <w:t>22. 开标程序</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line="400" w:lineRule="exact"/>
        <w:ind w:firstLine="480" w:firstLineChars="200"/>
        <w:rPr>
          <w:rFonts w:ascii="宋体" w:hAnsi="宋体"/>
          <w:sz w:val="24"/>
        </w:rPr>
      </w:pPr>
      <w:bookmarkStart w:id="121" w:name="_Toc369265522"/>
      <w:r>
        <w:rPr>
          <w:rFonts w:hint="eastAsia" w:ascii="宋体" w:hAnsi="宋体"/>
          <w:sz w:val="24"/>
        </w:rPr>
        <w:t>22.1 开标会主持人按照比选文件规定的开标时间宣布开标，按照规定要求主持开标会。开标将按以下程序进行：</w:t>
      </w:r>
    </w:p>
    <w:p>
      <w:pPr>
        <w:spacing w:line="400" w:lineRule="exact"/>
        <w:ind w:firstLine="480" w:firstLineChars="200"/>
        <w:rPr>
          <w:rFonts w:ascii="宋体" w:hAnsi="宋体"/>
          <w:sz w:val="24"/>
        </w:rPr>
      </w:pPr>
      <w:r>
        <w:rPr>
          <w:rFonts w:hint="eastAsia" w:ascii="宋体" w:hAnsi="宋体"/>
          <w:sz w:val="24"/>
        </w:rPr>
        <w:t>（1）宣布开标会开始。</w:t>
      </w:r>
    </w:p>
    <w:p>
      <w:pPr>
        <w:spacing w:line="400" w:lineRule="exact"/>
        <w:ind w:firstLine="480" w:firstLineChars="200"/>
        <w:rPr>
          <w:rFonts w:ascii="宋体" w:hAnsi="宋体"/>
          <w:sz w:val="24"/>
        </w:rPr>
      </w:pPr>
      <w:r>
        <w:rPr>
          <w:rFonts w:hint="eastAsia" w:ascii="宋体" w:hAnsi="宋体"/>
          <w:sz w:val="24"/>
        </w:rPr>
        <w:t>（2）开标唱标。</w:t>
      </w:r>
    </w:p>
    <w:p>
      <w:pPr>
        <w:spacing w:line="400" w:lineRule="exact"/>
        <w:ind w:firstLine="480" w:firstLineChars="200"/>
        <w:rPr>
          <w:rFonts w:ascii="宋体" w:hAnsi="宋体"/>
          <w:sz w:val="24"/>
        </w:rPr>
      </w:pPr>
      <w:r>
        <w:rPr>
          <w:rFonts w:hint="eastAsia" w:ascii="宋体" w:hAnsi="宋体"/>
          <w:sz w:val="24"/>
        </w:rPr>
        <w:t>（3）宣布开标会结束。评标结果比选申请人在攀枝花市国有投资（集团）有限责任公司上查询。</w:t>
      </w:r>
    </w:p>
    <w:bookmarkEnd w:id="121"/>
    <w:p>
      <w:pPr>
        <w:pStyle w:val="5"/>
        <w:spacing w:line="415" w:lineRule="auto"/>
        <w:rPr>
          <w:rFonts w:ascii="宋体" w:hAnsi="宋体"/>
          <w:sz w:val="24"/>
          <w:szCs w:val="24"/>
        </w:rPr>
      </w:pPr>
      <w:bookmarkStart w:id="122" w:name="_Toc31193"/>
      <w:bookmarkStart w:id="123" w:name="_Toc18749"/>
      <w:bookmarkStart w:id="124" w:name="_Toc27385"/>
      <w:bookmarkStart w:id="125" w:name="_Toc23313"/>
      <w:bookmarkStart w:id="126" w:name="_Toc3923"/>
      <w:bookmarkStart w:id="127" w:name="_Toc20744"/>
      <w:bookmarkStart w:id="128" w:name="_Toc19624"/>
      <w:bookmarkStart w:id="129" w:name="_Toc28743"/>
      <w:bookmarkStart w:id="130" w:name="_Toc25332"/>
      <w:bookmarkStart w:id="131" w:name="_Toc27474"/>
      <w:bookmarkStart w:id="132" w:name="_Toc19588"/>
      <w:r>
        <w:rPr>
          <w:rFonts w:hint="eastAsia" w:ascii="宋体" w:hAnsi="宋体"/>
          <w:sz w:val="24"/>
        </w:rPr>
        <w:t>23．开评标过程存档</w:t>
      </w:r>
      <w:bookmarkEnd w:id="122"/>
      <w:bookmarkEnd w:id="123"/>
      <w:bookmarkEnd w:id="124"/>
      <w:bookmarkEnd w:id="125"/>
      <w:bookmarkEnd w:id="126"/>
      <w:bookmarkEnd w:id="127"/>
      <w:bookmarkEnd w:id="128"/>
      <w:bookmarkEnd w:id="129"/>
      <w:bookmarkEnd w:id="130"/>
      <w:bookmarkEnd w:id="131"/>
      <w:bookmarkEnd w:id="132"/>
      <w:bookmarkStart w:id="133" w:name="_Toc308164809"/>
    </w:p>
    <w:p>
      <w:pPr>
        <w:spacing w:line="400" w:lineRule="exact"/>
        <w:ind w:firstLine="480" w:firstLineChars="200"/>
        <w:rPr>
          <w:rFonts w:ascii="宋体" w:hAnsi="宋体"/>
          <w:sz w:val="24"/>
        </w:rPr>
      </w:pPr>
      <w:r>
        <w:rPr>
          <w:rFonts w:hint="eastAsia" w:ascii="宋体" w:hAnsi="宋体"/>
          <w:sz w:val="24"/>
        </w:rPr>
        <w:t>开标和评标过程进行全过程电子监控，并将电子监控资料存储介质留存归档。</w:t>
      </w:r>
    </w:p>
    <w:p>
      <w:pPr>
        <w:pStyle w:val="5"/>
        <w:spacing w:line="415" w:lineRule="auto"/>
        <w:rPr>
          <w:rFonts w:ascii="宋体" w:hAnsi="宋体"/>
          <w:sz w:val="24"/>
        </w:rPr>
      </w:pPr>
      <w:bookmarkStart w:id="134" w:name="_Toc13206"/>
      <w:bookmarkStart w:id="135" w:name="_Toc15933"/>
      <w:bookmarkStart w:id="136" w:name="_Toc22310"/>
      <w:bookmarkStart w:id="137" w:name="_Toc20263"/>
      <w:bookmarkStart w:id="138" w:name="_Toc25270"/>
      <w:bookmarkStart w:id="139" w:name="_Toc14200"/>
      <w:bookmarkStart w:id="140" w:name="_Toc30510"/>
      <w:bookmarkStart w:id="141" w:name="_Toc16065"/>
      <w:bookmarkStart w:id="142" w:name="_Toc29613"/>
      <w:bookmarkStart w:id="143" w:name="_Toc23166"/>
      <w:bookmarkStart w:id="144" w:name="_Toc28813"/>
      <w:r>
        <w:rPr>
          <w:rFonts w:hint="eastAsia" w:ascii="宋体" w:hAnsi="宋体"/>
          <w:sz w:val="24"/>
        </w:rPr>
        <w:t>24. 评标情况公告</w:t>
      </w:r>
      <w:bookmarkEnd w:id="134"/>
      <w:bookmarkEnd w:id="135"/>
      <w:bookmarkEnd w:id="136"/>
      <w:bookmarkEnd w:id="137"/>
      <w:bookmarkEnd w:id="138"/>
      <w:bookmarkEnd w:id="139"/>
      <w:bookmarkEnd w:id="140"/>
      <w:bookmarkEnd w:id="141"/>
      <w:bookmarkEnd w:id="142"/>
      <w:bookmarkEnd w:id="143"/>
      <w:bookmarkEnd w:id="144"/>
    </w:p>
    <w:p>
      <w:pPr>
        <w:spacing w:line="400" w:lineRule="exact"/>
        <w:ind w:firstLine="480" w:firstLineChars="200"/>
        <w:rPr>
          <w:rFonts w:ascii="宋体" w:hAnsi="宋体"/>
          <w:sz w:val="24"/>
        </w:rPr>
      </w:pPr>
      <w:r>
        <w:rPr>
          <w:rFonts w:hint="eastAsia" w:ascii="宋体" w:hAnsi="宋体"/>
          <w:sz w:val="24"/>
        </w:rPr>
        <w:t>所有比选申请人比选申请文件资格性、符合性检查情况、采用综合评分法时的总得分和分项汇总得分情况、评标结果等将在攀枝花市国有投资（集团）有限责任公司上采购结果公告栏中予以公告。</w:t>
      </w:r>
    </w:p>
    <w:p>
      <w:pPr>
        <w:pStyle w:val="5"/>
        <w:spacing w:line="400" w:lineRule="exact"/>
        <w:rPr>
          <w:rFonts w:ascii="宋体" w:hAnsi="宋体"/>
          <w:bCs w:val="0"/>
          <w:sz w:val="24"/>
          <w:szCs w:val="24"/>
        </w:rPr>
      </w:pPr>
      <w:bookmarkStart w:id="145" w:name="_Toc8291"/>
      <w:bookmarkStart w:id="146" w:name="_Toc8667"/>
      <w:bookmarkStart w:id="147" w:name="_Toc6089"/>
      <w:bookmarkStart w:id="148" w:name="_Toc12279"/>
      <w:bookmarkStart w:id="149" w:name="_Toc22694"/>
      <w:bookmarkStart w:id="150" w:name="_Toc28815"/>
      <w:bookmarkStart w:id="151" w:name="_Toc6827"/>
      <w:bookmarkStart w:id="152" w:name="_Toc18236"/>
      <w:bookmarkStart w:id="153" w:name="_Toc10038"/>
      <w:bookmarkStart w:id="154" w:name="_Toc25107"/>
      <w:bookmarkStart w:id="155" w:name="_Toc6460"/>
      <w:r>
        <w:rPr>
          <w:rFonts w:hint="eastAsia" w:ascii="宋体" w:hAnsi="宋体"/>
          <w:bCs w:val="0"/>
          <w:sz w:val="24"/>
          <w:szCs w:val="24"/>
        </w:rPr>
        <w:t>25. 成交通知书</w:t>
      </w:r>
      <w:bookmarkEnd w:id="133"/>
      <w:bookmarkEnd w:id="145"/>
      <w:bookmarkEnd w:id="146"/>
      <w:bookmarkEnd w:id="147"/>
      <w:bookmarkEnd w:id="148"/>
      <w:bookmarkEnd w:id="149"/>
      <w:bookmarkEnd w:id="150"/>
      <w:bookmarkEnd w:id="151"/>
      <w:bookmarkEnd w:id="152"/>
      <w:bookmarkEnd w:id="153"/>
      <w:bookmarkEnd w:id="154"/>
      <w:bookmarkEnd w:id="155"/>
    </w:p>
    <w:p>
      <w:pPr>
        <w:tabs>
          <w:tab w:val="left" w:pos="7665"/>
        </w:tabs>
        <w:spacing w:line="400" w:lineRule="exact"/>
        <w:ind w:firstLine="480" w:firstLineChars="200"/>
        <w:rPr>
          <w:rFonts w:ascii="宋体" w:hAnsi="宋体"/>
          <w:sz w:val="24"/>
        </w:rPr>
      </w:pPr>
      <w:r>
        <w:rPr>
          <w:rFonts w:hint="eastAsia" w:ascii="宋体" w:hAnsi="宋体"/>
          <w:sz w:val="24"/>
        </w:rPr>
        <w:t>25</w:t>
      </w:r>
      <w:r>
        <w:rPr>
          <w:rFonts w:hint="eastAsia" w:ascii="宋体" w:hAnsi="宋体"/>
          <w:bCs/>
          <w:sz w:val="24"/>
        </w:rPr>
        <w:t>.</w:t>
      </w:r>
      <w:r>
        <w:rPr>
          <w:rFonts w:hint="eastAsia" w:ascii="宋体" w:hAnsi="宋体"/>
          <w:sz w:val="24"/>
        </w:rPr>
        <w:t>1 成交通知书为签订采购合同的依据之一，是合同的有效组成部分。</w:t>
      </w:r>
    </w:p>
    <w:p>
      <w:pPr>
        <w:tabs>
          <w:tab w:val="left" w:pos="7665"/>
        </w:tabs>
        <w:spacing w:line="400" w:lineRule="exact"/>
        <w:ind w:firstLine="480" w:firstLineChars="200"/>
        <w:rPr>
          <w:rFonts w:ascii="宋体" w:hAnsi="宋体"/>
          <w:sz w:val="24"/>
        </w:rPr>
      </w:pPr>
      <w:r>
        <w:rPr>
          <w:rFonts w:hint="eastAsia" w:ascii="宋体" w:hAnsi="宋体"/>
          <w:sz w:val="24"/>
        </w:rPr>
        <w:t>25.2 比选申请人成交后，拒绝领取成交通知书的，招标采购单位将于成交比选申请人确定之日起两个工作日内采取邮寄、快递方式按照比选申请人比选申请文件中的地址发出成交通知书。</w:t>
      </w:r>
    </w:p>
    <w:p>
      <w:pPr>
        <w:tabs>
          <w:tab w:val="left" w:pos="7665"/>
        </w:tabs>
        <w:spacing w:line="400" w:lineRule="exact"/>
        <w:ind w:firstLine="480"/>
        <w:rPr>
          <w:rFonts w:ascii="宋体" w:hAnsi="宋体"/>
          <w:sz w:val="24"/>
        </w:rPr>
      </w:pPr>
      <w:r>
        <w:rPr>
          <w:rFonts w:hint="eastAsia" w:ascii="宋体" w:hAnsi="宋体"/>
          <w:sz w:val="24"/>
        </w:rPr>
        <w:t>25.3 成交通知书对采购人和成交比选申请人均具有法律效力。成交通知书发出后，采购人改变成交结果，或者成交比选申请人无正当理由放弃成交的，应当承担相应的法律责任。</w:t>
      </w:r>
    </w:p>
    <w:p>
      <w:pPr>
        <w:tabs>
          <w:tab w:val="left" w:pos="7665"/>
        </w:tabs>
        <w:spacing w:line="400" w:lineRule="exact"/>
        <w:ind w:firstLine="480"/>
        <w:rPr>
          <w:rFonts w:ascii="宋体" w:hAnsi="宋体"/>
          <w:sz w:val="24"/>
        </w:rPr>
      </w:pPr>
      <w:r>
        <w:rPr>
          <w:rFonts w:hint="eastAsia" w:ascii="宋体" w:hAnsi="宋体"/>
          <w:sz w:val="24"/>
        </w:rPr>
        <w:t>25．4成交比选申请人的比选申请文件本应作为无效比选处理或者有采购法律法规规章制度规定的成交无效情形的，招标采购单位在取得有权主体的认定以后，将宣布发出的成交通知书无效，并收回发出的成交通知书（成交比选申请人也应当缴回），依法重新确定成交比选申请人或者重新开展采购活动。</w:t>
      </w:r>
    </w:p>
    <w:p>
      <w:pPr>
        <w:tabs>
          <w:tab w:val="left" w:pos="7665"/>
        </w:tabs>
        <w:spacing w:line="400" w:lineRule="exact"/>
        <w:ind w:firstLine="480"/>
        <w:rPr>
          <w:rFonts w:ascii="宋体" w:hAnsi="宋体"/>
          <w:sz w:val="24"/>
        </w:rPr>
      </w:pPr>
      <w:r>
        <w:rPr>
          <w:rFonts w:hint="eastAsia" w:ascii="宋体" w:hAnsi="宋体"/>
          <w:sz w:val="24"/>
        </w:rPr>
        <w:t>25.5成交公告发出后，成交比选申请人自行领取成交通知书的，可凭有效身份证明证件（</w:t>
      </w:r>
      <w:r>
        <w:rPr>
          <w:rFonts w:hint="eastAsia" w:ascii="宋体" w:hAnsi="宋体"/>
          <w:sz w:val="24"/>
          <w:lang w:bidi="en-US"/>
        </w:rPr>
        <w:t>单位</w:t>
      </w:r>
      <w:r>
        <w:rPr>
          <w:rFonts w:ascii="宋体" w:hAnsi="宋体"/>
          <w:sz w:val="24"/>
          <w:lang w:bidi="en-US"/>
        </w:rPr>
        <w:t>介绍信，注明</w:t>
      </w:r>
      <w:r>
        <w:rPr>
          <w:rFonts w:hint="eastAsia" w:ascii="宋体" w:hAnsi="宋体"/>
          <w:sz w:val="24"/>
          <w:lang w:bidi="en-US"/>
        </w:rPr>
        <w:t>办理成交</w:t>
      </w:r>
      <w:r>
        <w:rPr>
          <w:rFonts w:ascii="宋体" w:hAnsi="宋体"/>
          <w:sz w:val="24"/>
          <w:lang w:bidi="en-US"/>
        </w:rPr>
        <w:t>通知书领取事宜，并带</w:t>
      </w:r>
      <w:r>
        <w:rPr>
          <w:rFonts w:hint="eastAsia" w:ascii="宋体" w:hAnsi="宋体"/>
          <w:sz w:val="24"/>
          <w:lang w:bidi="en-US"/>
        </w:rPr>
        <w:t>领取</w:t>
      </w:r>
      <w:r>
        <w:rPr>
          <w:rFonts w:ascii="宋体" w:hAnsi="宋体"/>
          <w:sz w:val="24"/>
          <w:lang w:bidi="en-US"/>
        </w:rPr>
        <w:t>人</w:t>
      </w:r>
      <w:r>
        <w:rPr>
          <w:rFonts w:hint="eastAsia" w:ascii="宋体" w:hAnsi="宋体"/>
          <w:sz w:val="24"/>
          <w:lang w:bidi="en-US"/>
        </w:rPr>
        <w:t>身份证</w:t>
      </w:r>
      <w:r>
        <w:rPr>
          <w:rFonts w:ascii="宋体" w:hAnsi="宋体"/>
          <w:sz w:val="24"/>
          <w:lang w:bidi="en-US"/>
        </w:rPr>
        <w:t>原件</w:t>
      </w:r>
      <w:r>
        <w:rPr>
          <w:rFonts w:hint="eastAsia" w:ascii="宋体" w:hAnsi="宋体"/>
          <w:sz w:val="24"/>
        </w:rPr>
        <w:t>）到</w:t>
      </w:r>
      <w:r>
        <w:rPr>
          <w:rFonts w:hint="eastAsia" w:ascii="宋体" w:hAnsi="宋体"/>
          <w:b/>
          <w:bCs/>
          <w:sz w:val="24"/>
          <w:u w:val="single"/>
        </w:rPr>
        <w:t>攀枝花市东区鸿海巷13号1栋1楼（富麒家园内）</w:t>
      </w:r>
      <w:r>
        <w:rPr>
          <w:rFonts w:hint="eastAsia" w:ascii="宋体" w:hAnsi="宋体"/>
          <w:sz w:val="24"/>
        </w:rPr>
        <w:t>领取成交通知书。</w:t>
      </w:r>
    </w:p>
    <w:p>
      <w:pPr>
        <w:pStyle w:val="4"/>
        <w:spacing w:line="400" w:lineRule="exact"/>
        <w:jc w:val="center"/>
      </w:pPr>
      <w:bookmarkStart w:id="156" w:name="_Toc3755"/>
      <w:bookmarkStart w:id="157" w:name="_Toc4608"/>
      <w:r>
        <w:rPr>
          <w:rFonts w:hint="eastAsia"/>
          <w:sz w:val="28"/>
        </w:rPr>
        <w:t>六、签订及履行合同</w:t>
      </w:r>
      <w:bookmarkEnd w:id="156"/>
      <w:bookmarkEnd w:id="157"/>
    </w:p>
    <w:p>
      <w:pPr>
        <w:pStyle w:val="5"/>
        <w:spacing w:line="415" w:lineRule="auto"/>
        <w:rPr>
          <w:rFonts w:ascii="宋体" w:hAnsi="宋体"/>
          <w:sz w:val="24"/>
          <w:szCs w:val="24"/>
        </w:rPr>
      </w:pPr>
      <w:bookmarkStart w:id="158" w:name="_Toc6672"/>
      <w:bookmarkStart w:id="159" w:name="_Toc31485"/>
      <w:r>
        <w:rPr>
          <w:rFonts w:hint="eastAsia" w:ascii="宋体" w:hAnsi="宋体"/>
          <w:sz w:val="24"/>
          <w:szCs w:val="24"/>
        </w:rPr>
        <w:t>26. 签订合同</w:t>
      </w:r>
      <w:bookmarkEnd w:id="158"/>
      <w:bookmarkEnd w:id="159"/>
    </w:p>
    <w:p>
      <w:pPr>
        <w:spacing w:line="400" w:lineRule="exact"/>
        <w:ind w:firstLine="480" w:firstLineChars="200"/>
        <w:rPr>
          <w:rFonts w:ascii="宋体" w:hAnsi="宋体"/>
          <w:sz w:val="24"/>
        </w:rPr>
      </w:pPr>
      <w:r>
        <w:rPr>
          <w:rFonts w:hint="eastAsia" w:ascii="宋体" w:hAnsi="宋体"/>
          <w:sz w:val="24"/>
        </w:rPr>
        <w:t>26.1 成交比选申请人在收到比选代理机构发出的《成交通知书》后，应在规定的时间内与采购人签订采购合同。由于成交比选申请人的原因逾期未与采购人签订采购合同的，将视为放弃成交</w:t>
      </w:r>
      <w:r>
        <w:rPr>
          <w:rFonts w:ascii="宋体" w:hAnsi="宋体"/>
          <w:sz w:val="24"/>
        </w:rPr>
        <w:t>资格</w:t>
      </w:r>
      <w:r>
        <w:rPr>
          <w:rFonts w:hint="eastAsia" w:ascii="宋体" w:hAnsi="宋体"/>
          <w:sz w:val="24"/>
        </w:rPr>
        <w:t>，取消其成交资格并将按相关规定进行处理。</w:t>
      </w:r>
    </w:p>
    <w:p>
      <w:pPr>
        <w:spacing w:line="400" w:lineRule="exact"/>
        <w:ind w:firstLine="420" w:firstLineChars="175"/>
        <w:rPr>
          <w:rFonts w:ascii="宋体" w:hAnsi="宋体"/>
          <w:sz w:val="24"/>
        </w:rPr>
      </w:pPr>
      <w:r>
        <w:rPr>
          <w:rFonts w:hint="eastAsia" w:ascii="宋体" w:hAnsi="宋体"/>
          <w:sz w:val="24"/>
        </w:rPr>
        <w:t>26.2 采购人不得向成交比选申请人提出任何不合理的要求，作为签订合同的条件，不得与成交比选申请人私下订立背离合同实质性内容的任何协议，所签订的合同不得对比选文件和成交比选申请人比选申请文件作实质性修改。</w:t>
      </w:r>
    </w:p>
    <w:p>
      <w:pPr>
        <w:spacing w:line="400" w:lineRule="exact"/>
        <w:ind w:firstLine="420" w:firstLineChars="175"/>
        <w:rPr>
          <w:rFonts w:ascii="宋体" w:hAnsi="宋体"/>
          <w:sz w:val="24"/>
        </w:rPr>
      </w:pPr>
      <w:r>
        <w:rPr>
          <w:rFonts w:hint="eastAsia" w:ascii="宋体" w:hAnsi="宋体"/>
          <w:sz w:val="24"/>
        </w:rPr>
        <w:t>26.3 成交比选申请人因不可抗力原因不能履行采购合同或放弃成交的，采购人可以与排在成交比选申请人之后第一位的成交候选人签订采购合同，以此类推。</w:t>
      </w:r>
    </w:p>
    <w:p>
      <w:pPr>
        <w:spacing w:line="400" w:lineRule="exact"/>
        <w:ind w:firstLine="420" w:firstLineChars="175"/>
        <w:rPr>
          <w:rFonts w:ascii="宋体" w:hAnsi="宋体"/>
          <w:sz w:val="24"/>
        </w:rPr>
      </w:pPr>
      <w:r>
        <w:rPr>
          <w:rFonts w:hint="eastAsia" w:ascii="宋体" w:hAnsi="宋体"/>
          <w:sz w:val="24"/>
        </w:rPr>
        <w:t>26.4 成交比选申请人在合同签订之后三个工作日内，将签订的合同</w:t>
      </w:r>
      <w:r>
        <w:rPr>
          <w:rFonts w:hint="eastAsia" w:ascii="宋体" w:hAnsi="宋体"/>
          <w:sz w:val="24"/>
          <w:u w:val="single"/>
        </w:rPr>
        <w:t>（签订时应一式一份）</w:t>
      </w:r>
      <w:r>
        <w:rPr>
          <w:rFonts w:hint="eastAsia" w:ascii="宋体" w:hAnsi="宋体"/>
          <w:sz w:val="24"/>
        </w:rPr>
        <w:t>送比选代理机构财务科室。</w:t>
      </w:r>
    </w:p>
    <w:p>
      <w:pPr>
        <w:pStyle w:val="5"/>
        <w:spacing w:line="415" w:lineRule="auto"/>
        <w:rPr>
          <w:rFonts w:ascii="宋体" w:hAnsi="宋体"/>
          <w:sz w:val="24"/>
          <w:szCs w:val="24"/>
        </w:rPr>
      </w:pPr>
      <w:bookmarkStart w:id="160" w:name="_Toc20644"/>
      <w:bookmarkStart w:id="161" w:name="_Toc762"/>
      <w:r>
        <w:rPr>
          <w:rFonts w:hint="eastAsia" w:ascii="宋体" w:hAnsi="宋体"/>
          <w:sz w:val="24"/>
          <w:szCs w:val="24"/>
        </w:rPr>
        <w:t>27. 合同分包</w:t>
      </w:r>
      <w:bookmarkEnd w:id="160"/>
      <w:r>
        <w:rPr>
          <w:rFonts w:hint="eastAsia" w:ascii="宋体" w:hAnsi="宋体"/>
          <w:sz w:val="24"/>
          <w:szCs w:val="24"/>
        </w:rPr>
        <w:t>（实质性要求）</w:t>
      </w:r>
      <w:bookmarkEnd w:id="161"/>
    </w:p>
    <w:p>
      <w:pPr>
        <w:spacing w:line="400" w:lineRule="exact"/>
        <w:ind w:firstLine="495"/>
        <w:rPr>
          <w:rFonts w:ascii="宋体" w:hAnsi="宋体"/>
          <w:sz w:val="24"/>
        </w:rPr>
      </w:pPr>
      <w:r>
        <w:rPr>
          <w:rFonts w:hint="eastAsia" w:ascii="宋体" w:hAnsi="宋体"/>
          <w:sz w:val="24"/>
        </w:rPr>
        <w:t>本次项目</w:t>
      </w:r>
      <w:r>
        <w:rPr>
          <w:rFonts w:ascii="宋体" w:hAnsi="宋体"/>
          <w:sz w:val="24"/>
        </w:rPr>
        <w:t>不接受合同分包。</w:t>
      </w:r>
    </w:p>
    <w:p>
      <w:pPr>
        <w:pStyle w:val="5"/>
        <w:spacing w:line="415" w:lineRule="auto"/>
        <w:rPr>
          <w:rFonts w:ascii="宋体" w:hAnsi="宋体"/>
          <w:sz w:val="24"/>
          <w:szCs w:val="24"/>
        </w:rPr>
      </w:pPr>
      <w:bookmarkStart w:id="162" w:name="_Toc27864"/>
      <w:bookmarkStart w:id="163" w:name="_Toc22755"/>
      <w:r>
        <w:rPr>
          <w:rFonts w:hint="eastAsia" w:ascii="宋体" w:hAnsi="宋体"/>
          <w:sz w:val="24"/>
          <w:szCs w:val="24"/>
        </w:rPr>
        <w:t>28. 履行合同</w:t>
      </w:r>
      <w:bookmarkEnd w:id="162"/>
      <w:bookmarkEnd w:id="163"/>
    </w:p>
    <w:p>
      <w:pPr>
        <w:spacing w:line="400" w:lineRule="exact"/>
        <w:rPr>
          <w:rFonts w:ascii="宋体" w:hAnsi="宋体"/>
          <w:sz w:val="24"/>
        </w:rPr>
      </w:pPr>
      <w:r>
        <w:rPr>
          <w:rFonts w:hint="eastAsia" w:ascii="宋体" w:hAnsi="宋体"/>
          <w:sz w:val="24"/>
        </w:rPr>
        <w:t xml:space="preserve">    28.1 成交比选申请人与采购人签订合同后，合同双方应严格执行合同条款，履行合同规定的义务，保证合同的顺利完成。</w:t>
      </w:r>
    </w:p>
    <w:p>
      <w:pPr>
        <w:spacing w:line="400" w:lineRule="exact"/>
        <w:rPr>
          <w:rFonts w:ascii="宋体" w:hAnsi="宋体"/>
          <w:sz w:val="24"/>
        </w:rPr>
      </w:pPr>
      <w:r>
        <w:rPr>
          <w:rFonts w:hint="eastAsia" w:ascii="宋体" w:hAnsi="宋体"/>
          <w:sz w:val="24"/>
        </w:rPr>
        <w:t xml:space="preserve">    28.2 在合同履行过程中，如发生合同纠纷，合同双方应按照《合同法》的有关规定进行处理。</w:t>
      </w:r>
    </w:p>
    <w:p>
      <w:pPr>
        <w:pStyle w:val="4"/>
        <w:spacing w:before="480" w:line="400" w:lineRule="exact"/>
        <w:jc w:val="center"/>
      </w:pPr>
      <w:bookmarkStart w:id="164" w:name="_Toc2472"/>
      <w:bookmarkStart w:id="165" w:name="_Toc26036"/>
      <w:r>
        <w:rPr>
          <w:rFonts w:hint="eastAsia"/>
          <w:sz w:val="28"/>
        </w:rPr>
        <w:t>七、纪律要求</w:t>
      </w:r>
      <w:bookmarkEnd w:id="164"/>
      <w:bookmarkEnd w:id="165"/>
    </w:p>
    <w:p>
      <w:pPr>
        <w:pStyle w:val="5"/>
        <w:spacing w:line="400" w:lineRule="exact"/>
        <w:rPr>
          <w:rFonts w:ascii="宋体" w:hAnsi="宋体"/>
          <w:bCs w:val="0"/>
          <w:sz w:val="24"/>
          <w:szCs w:val="24"/>
        </w:rPr>
      </w:pPr>
      <w:bookmarkStart w:id="166" w:name="_Toc17450"/>
      <w:bookmarkStart w:id="167" w:name="_Toc5192"/>
      <w:r>
        <w:rPr>
          <w:rFonts w:hint="eastAsia" w:ascii="宋体" w:hAnsi="宋体"/>
          <w:sz w:val="24"/>
        </w:rPr>
        <w:t xml:space="preserve">29. </w:t>
      </w:r>
      <w:r>
        <w:rPr>
          <w:rFonts w:hint="eastAsia" w:ascii="宋体" w:hAnsi="宋体"/>
          <w:bCs w:val="0"/>
          <w:sz w:val="24"/>
          <w:szCs w:val="24"/>
        </w:rPr>
        <w:t>比选申请人不得具有的情形</w:t>
      </w:r>
      <w:bookmarkEnd w:id="166"/>
      <w:bookmarkEnd w:id="167"/>
    </w:p>
    <w:p>
      <w:pPr>
        <w:pStyle w:val="6"/>
        <w:spacing w:line="400" w:lineRule="exact"/>
        <w:ind w:firstLine="480"/>
        <w:rPr>
          <w:rFonts w:ascii="宋体" w:hAnsi="宋体"/>
          <w:sz w:val="24"/>
        </w:rPr>
      </w:pPr>
      <w:r>
        <w:rPr>
          <w:rFonts w:hint="eastAsia" w:ascii="宋体" w:hAnsi="宋体"/>
          <w:sz w:val="24"/>
        </w:rPr>
        <w:t>比选申请人参加比选时不得有下列情形：</w:t>
      </w:r>
    </w:p>
    <w:p>
      <w:pPr>
        <w:spacing w:line="400" w:lineRule="exact"/>
        <w:ind w:firstLine="460" w:firstLineChars="192"/>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）提供虚假材料谋取成交；</w:t>
      </w:r>
    </w:p>
    <w:p>
      <w:pPr>
        <w:spacing w:line="400" w:lineRule="exact"/>
        <w:ind w:firstLine="460" w:firstLineChars="192"/>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）采取不正当手段诋毁、排挤其他比选申请人；</w:t>
      </w:r>
    </w:p>
    <w:p>
      <w:pPr>
        <w:tabs>
          <w:tab w:val="left" w:pos="851"/>
        </w:tabs>
        <w:spacing w:line="360" w:lineRule="auto"/>
        <w:ind w:firstLine="480" w:firstLineChars="200"/>
        <w:rPr>
          <w:rFonts w:ascii="宋体" w:hAnsi="宋体" w:cs="宋体"/>
          <w:sz w:val="24"/>
        </w:rPr>
      </w:pPr>
      <w:r>
        <w:rPr>
          <w:rFonts w:hint="eastAsia" w:ascii="宋体" w:hAnsi="宋体" w:cs="宋体"/>
          <w:sz w:val="24"/>
        </w:rPr>
        <w:t>（3）与采购人、采购代理机构、或其他比选申请人恶意串通；</w:t>
      </w:r>
    </w:p>
    <w:p>
      <w:pPr>
        <w:tabs>
          <w:tab w:val="left" w:pos="851"/>
        </w:tabs>
        <w:spacing w:line="360" w:lineRule="auto"/>
        <w:ind w:firstLine="480" w:firstLineChars="200"/>
        <w:rPr>
          <w:rFonts w:ascii="宋体" w:hAnsi="宋体" w:cs="宋体"/>
          <w:sz w:val="24"/>
        </w:rPr>
      </w:pPr>
      <w:r>
        <w:rPr>
          <w:rFonts w:hint="eastAsia" w:ascii="宋体" w:hAnsi="宋体" w:cs="宋体"/>
          <w:sz w:val="24"/>
        </w:rPr>
        <w:t>（4）向采购人、采购代理机构、评审小组成员行贿或者提供其他不正当利益；</w:t>
      </w:r>
    </w:p>
    <w:p>
      <w:pPr>
        <w:tabs>
          <w:tab w:val="left" w:pos="851"/>
        </w:tabs>
        <w:spacing w:line="360" w:lineRule="auto"/>
        <w:ind w:firstLine="480" w:firstLineChars="200"/>
        <w:rPr>
          <w:rFonts w:ascii="宋体" w:hAnsi="宋体" w:cs="宋体"/>
          <w:sz w:val="24"/>
        </w:rPr>
      </w:pPr>
      <w:r>
        <w:rPr>
          <w:rFonts w:hint="eastAsia" w:ascii="宋体" w:hAnsi="宋体" w:cs="宋体"/>
          <w:sz w:val="24"/>
        </w:rPr>
        <w:t>（5）在比选过程中与采购人、采购代理机构进行协商；</w:t>
      </w:r>
    </w:p>
    <w:p>
      <w:pPr>
        <w:tabs>
          <w:tab w:val="left" w:pos="851"/>
        </w:tabs>
        <w:spacing w:line="360" w:lineRule="auto"/>
        <w:ind w:firstLine="480" w:firstLineChars="200"/>
        <w:rPr>
          <w:rFonts w:ascii="宋体" w:hAnsi="宋体" w:cs="宋体"/>
          <w:sz w:val="24"/>
        </w:rPr>
      </w:pPr>
      <w:r>
        <w:rPr>
          <w:rFonts w:hint="eastAsia" w:ascii="宋体" w:hAnsi="宋体" w:cs="宋体"/>
          <w:sz w:val="24"/>
        </w:rPr>
        <w:t>（6）成交后无正当理由拒不与采购人签订采购合同；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（7）未按照比选文件确定的事项签订采购合同；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（8）将采购合同转包或者违规分包；</w:t>
      </w:r>
    </w:p>
    <w:p>
      <w:pPr>
        <w:tabs>
          <w:tab w:val="left" w:pos="851"/>
        </w:tabs>
        <w:spacing w:line="360" w:lineRule="auto"/>
        <w:ind w:firstLine="480" w:firstLineChars="200"/>
        <w:rPr>
          <w:rFonts w:ascii="宋体" w:hAnsi="宋体" w:cs="宋体"/>
          <w:sz w:val="24"/>
        </w:rPr>
      </w:pPr>
      <w:r>
        <w:rPr>
          <w:rFonts w:hint="eastAsia" w:ascii="宋体" w:hAnsi="宋体" w:cs="宋体"/>
          <w:sz w:val="24"/>
        </w:rPr>
        <w:t>（9）提供假冒伪劣产品；</w:t>
      </w:r>
    </w:p>
    <w:p>
      <w:pPr>
        <w:tabs>
          <w:tab w:val="left" w:pos="851"/>
        </w:tabs>
        <w:spacing w:line="360" w:lineRule="auto"/>
        <w:ind w:firstLine="480" w:firstLineChars="200"/>
        <w:rPr>
          <w:rFonts w:ascii="宋体" w:hAnsi="宋体" w:cs="宋体"/>
          <w:sz w:val="24"/>
        </w:rPr>
      </w:pPr>
      <w:r>
        <w:rPr>
          <w:rFonts w:hint="eastAsia" w:ascii="宋体" w:hAnsi="宋体" w:cs="宋体"/>
          <w:sz w:val="24"/>
        </w:rPr>
        <w:t>（10）擅自变更、中止或者终止采购合同；</w:t>
      </w:r>
    </w:p>
    <w:p>
      <w:pPr>
        <w:tabs>
          <w:tab w:val="left" w:pos="851"/>
        </w:tabs>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pStyle w:val="2"/>
      </w:pPr>
      <w:r>
        <w:rPr>
          <w:rFonts w:hint="eastAsia" w:ascii="宋体" w:hAnsi="宋体" w:cs="宋体"/>
          <w:sz w:val="24"/>
        </w:rPr>
        <w:t xml:space="preserve">    （12）违反评标现场纪律、干扰正常评标；</w:t>
      </w:r>
    </w:p>
    <w:p>
      <w:pPr>
        <w:tabs>
          <w:tab w:val="left" w:pos="851"/>
        </w:tabs>
        <w:spacing w:line="360" w:lineRule="auto"/>
        <w:ind w:firstLine="480" w:firstLineChars="200"/>
        <w:rPr>
          <w:rFonts w:ascii="宋体" w:hAnsi="宋体" w:cs="宋体"/>
          <w:sz w:val="24"/>
        </w:rPr>
      </w:pPr>
      <w:r>
        <w:rPr>
          <w:rFonts w:hint="eastAsia" w:ascii="宋体" w:hAnsi="宋体" w:cs="宋体"/>
          <w:sz w:val="24"/>
        </w:rPr>
        <w:t>（13）法律法规规定的其他情形。</w:t>
      </w:r>
    </w:p>
    <w:p>
      <w:pPr>
        <w:tabs>
          <w:tab w:val="left" w:pos="851"/>
        </w:tabs>
        <w:spacing w:line="360" w:lineRule="auto"/>
        <w:ind w:firstLine="480" w:firstLineChars="200"/>
        <w:rPr>
          <w:rFonts w:ascii="宋体" w:hAnsi="宋体" w:cs="宋体"/>
          <w:sz w:val="24"/>
        </w:rPr>
      </w:pPr>
      <w:r>
        <w:rPr>
          <w:rFonts w:hint="eastAsia" w:ascii="宋体" w:hAnsi="宋体" w:cs="宋体"/>
          <w:sz w:val="24"/>
        </w:rPr>
        <w:t>比选申请人有上述情形的，按照规定追究法律责任，具备（1）-（10）条情形之一的，同时将取消被确认为成交比选申请人的资格或者认定成交无效。</w:t>
      </w:r>
    </w:p>
    <w:p>
      <w:pPr>
        <w:pStyle w:val="4"/>
        <w:spacing w:before="480" w:line="400" w:lineRule="exact"/>
        <w:jc w:val="center"/>
        <w:rPr>
          <w:rFonts w:ascii="宋体" w:hAnsi="宋体"/>
        </w:rPr>
      </w:pPr>
      <w:bookmarkStart w:id="168" w:name="_Toc21988"/>
      <w:bookmarkStart w:id="169" w:name="_Toc16706"/>
      <w:r>
        <w:rPr>
          <w:rFonts w:hint="eastAsia"/>
          <w:sz w:val="28"/>
        </w:rPr>
        <w:t>八、</w:t>
      </w:r>
      <w:bookmarkEnd w:id="168"/>
      <w:r>
        <w:rPr>
          <w:rFonts w:hint="eastAsia"/>
          <w:sz w:val="28"/>
        </w:rPr>
        <w:t>资金支付</w:t>
      </w:r>
      <w:bookmarkEnd w:id="169"/>
    </w:p>
    <w:p>
      <w:pPr>
        <w:pStyle w:val="5"/>
        <w:spacing w:line="240" w:lineRule="auto"/>
        <w:rPr>
          <w:rFonts w:ascii="宋体" w:hAnsi="宋体"/>
          <w:sz w:val="24"/>
          <w:szCs w:val="24"/>
        </w:rPr>
      </w:pPr>
      <w:bookmarkStart w:id="170" w:name="_Toc26066"/>
      <w:bookmarkStart w:id="171" w:name="_Toc955"/>
      <w:r>
        <w:rPr>
          <w:rFonts w:hint="eastAsia" w:ascii="宋体" w:hAnsi="宋体"/>
          <w:sz w:val="24"/>
          <w:szCs w:val="24"/>
        </w:rPr>
        <w:t>30</w:t>
      </w:r>
      <w:r>
        <w:rPr>
          <w:rFonts w:ascii="宋体" w:hAnsi="宋体"/>
          <w:sz w:val="24"/>
          <w:szCs w:val="24"/>
        </w:rPr>
        <w:t>.</w:t>
      </w:r>
      <w:r>
        <w:rPr>
          <w:rFonts w:hint="eastAsia" w:ascii="宋体" w:hAnsi="宋体"/>
          <w:sz w:val="24"/>
          <w:szCs w:val="24"/>
        </w:rPr>
        <w:t xml:space="preserve"> 资金支付</w:t>
      </w:r>
      <w:bookmarkEnd w:id="170"/>
      <w:bookmarkEnd w:id="171"/>
    </w:p>
    <w:p>
      <w:pPr>
        <w:ind w:firstLine="480" w:firstLineChars="200"/>
      </w:pPr>
      <w:r>
        <w:rPr>
          <w:rFonts w:hint="eastAsia" w:ascii="宋体" w:hAnsi="宋体"/>
          <w:sz w:val="24"/>
        </w:rPr>
        <w:t>合同签订时约定。</w:t>
      </w:r>
    </w:p>
    <w:bookmarkEnd w:id="45"/>
    <w:bookmarkEnd w:id="46"/>
    <w:bookmarkEnd w:id="47"/>
    <w:bookmarkEnd w:id="48"/>
    <w:bookmarkEnd w:id="49"/>
    <w:bookmarkEnd w:id="50"/>
    <w:bookmarkEnd w:id="51"/>
    <w:p>
      <w:pPr>
        <w:pStyle w:val="4"/>
        <w:keepNext w:val="0"/>
        <w:keepLines w:val="0"/>
        <w:jc w:val="center"/>
        <w:rPr>
          <w:sz w:val="28"/>
        </w:rPr>
      </w:pPr>
      <w:bookmarkStart w:id="172" w:name="_Toc3882"/>
      <w:bookmarkStart w:id="173" w:name="_Toc32646"/>
      <w:r>
        <w:rPr>
          <w:rFonts w:hint="eastAsia"/>
          <w:sz w:val="28"/>
        </w:rPr>
        <w:t>九、比选代理服务费</w:t>
      </w:r>
      <w:bookmarkEnd w:id="172"/>
      <w:bookmarkEnd w:id="173"/>
    </w:p>
    <w:p>
      <w:pPr>
        <w:pStyle w:val="13"/>
        <w:spacing w:after="50" w:afterAutospacing="0" w:line="420" w:lineRule="exact"/>
        <w:ind w:firstLine="118" w:firstLineChars="49"/>
        <w:rPr>
          <w:sz w:val="24"/>
        </w:rPr>
      </w:pPr>
      <w:r>
        <w:rPr>
          <w:rFonts w:hint="eastAsia" w:cs="宋体"/>
          <w:b/>
          <w:sz w:val="24"/>
        </w:rPr>
        <w:t>31</w:t>
      </w:r>
      <w:r>
        <w:rPr>
          <w:rFonts w:hint="eastAsia" w:cs="宋体"/>
          <w:sz w:val="24"/>
        </w:rPr>
        <w:t>.</w:t>
      </w:r>
      <w:bookmarkStart w:id="174" w:name="_Toc4619"/>
      <w:bookmarkStart w:id="175" w:name="_Toc12544"/>
      <w:bookmarkStart w:id="176" w:name="_Toc9474"/>
      <w:bookmarkStart w:id="177" w:name="_Toc21576"/>
      <w:bookmarkStart w:id="178" w:name="_Toc15498"/>
      <w:r>
        <w:rPr>
          <w:rFonts w:hint="eastAsia" w:cs="宋体"/>
          <w:sz w:val="24"/>
        </w:rPr>
        <w:t>成都长源工程咨询有限公司将</w:t>
      </w:r>
      <w:bookmarkEnd w:id="174"/>
      <w:bookmarkEnd w:id="175"/>
      <w:bookmarkEnd w:id="176"/>
      <w:bookmarkEnd w:id="177"/>
      <w:bookmarkEnd w:id="178"/>
      <w:r>
        <w:rPr>
          <w:rFonts w:hint="eastAsia"/>
          <w:sz w:val="24"/>
        </w:rPr>
        <w:t>向成交单位收取招标代理服务费：</w:t>
      </w:r>
      <w:r>
        <w:rPr>
          <w:rFonts w:hint="eastAsia"/>
          <w:sz w:val="24"/>
          <w:u w:val="single"/>
        </w:rPr>
        <w:t xml:space="preserve"> 1152元 </w:t>
      </w:r>
      <w:r>
        <w:rPr>
          <w:rFonts w:hint="eastAsia"/>
          <w:sz w:val="24"/>
        </w:rPr>
        <w:t>。</w:t>
      </w:r>
      <w:r>
        <w:rPr>
          <w:rFonts w:hint="eastAsia"/>
          <w:sz w:val="24"/>
          <w:lang w:bidi="en-US"/>
        </w:rPr>
        <w:t>成交单位应在领取成交通知书（领取时</w:t>
      </w:r>
      <w:r>
        <w:rPr>
          <w:sz w:val="24"/>
          <w:lang w:bidi="en-US"/>
        </w:rPr>
        <w:t>携带公司介绍信，注明</w:t>
      </w:r>
      <w:r>
        <w:rPr>
          <w:rFonts w:hint="eastAsia"/>
          <w:sz w:val="24"/>
          <w:lang w:bidi="en-US"/>
        </w:rPr>
        <w:t>办理成交</w:t>
      </w:r>
      <w:r>
        <w:rPr>
          <w:sz w:val="24"/>
          <w:lang w:bidi="en-US"/>
        </w:rPr>
        <w:t>通知书领取事宜，并带</w:t>
      </w:r>
      <w:r>
        <w:rPr>
          <w:rFonts w:hint="eastAsia"/>
          <w:sz w:val="24"/>
          <w:lang w:bidi="en-US"/>
        </w:rPr>
        <w:t>领取</w:t>
      </w:r>
      <w:r>
        <w:rPr>
          <w:sz w:val="24"/>
          <w:lang w:bidi="en-US"/>
        </w:rPr>
        <w:t>人</w:t>
      </w:r>
      <w:r>
        <w:rPr>
          <w:rFonts w:hint="eastAsia"/>
          <w:sz w:val="24"/>
          <w:lang w:bidi="en-US"/>
        </w:rPr>
        <w:t>身份证</w:t>
      </w:r>
      <w:r>
        <w:rPr>
          <w:sz w:val="24"/>
          <w:lang w:bidi="en-US"/>
        </w:rPr>
        <w:t>原件）</w:t>
      </w:r>
      <w:r>
        <w:rPr>
          <w:rFonts w:hint="eastAsia"/>
          <w:sz w:val="24"/>
          <w:lang w:bidi="en-US"/>
        </w:rPr>
        <w:t>的同时向成都长源工程咨询有限公司支付本项目的招标代理服务费</w:t>
      </w:r>
      <w:r>
        <w:rPr>
          <w:rFonts w:hint="eastAsia"/>
          <w:sz w:val="24"/>
        </w:rPr>
        <w:t>。</w:t>
      </w:r>
    </w:p>
    <w:p>
      <w:pPr>
        <w:pStyle w:val="3"/>
        <w:keepNext w:val="0"/>
        <w:keepLines w:val="0"/>
        <w:spacing w:line="240" w:lineRule="auto"/>
        <w:jc w:val="center"/>
        <w:rPr>
          <w:rFonts w:eastAsia="黑体"/>
          <w:sz w:val="32"/>
          <w:szCs w:val="32"/>
        </w:rPr>
      </w:pPr>
      <w:r>
        <w:rPr>
          <w:kern w:val="2"/>
          <w:sz w:val="24"/>
          <w:szCs w:val="24"/>
        </w:rPr>
        <w:br w:type="page"/>
      </w:r>
      <w:bookmarkStart w:id="179" w:name="_Toc414979537"/>
      <w:bookmarkStart w:id="180" w:name="_Toc19317"/>
      <w:bookmarkStart w:id="181" w:name="_Toc15423"/>
      <w:r>
        <w:rPr>
          <w:rFonts w:eastAsia="黑体"/>
          <w:sz w:val="32"/>
          <w:szCs w:val="32"/>
        </w:rPr>
        <w:t xml:space="preserve">第三章 </w:t>
      </w:r>
      <w:r>
        <w:rPr>
          <w:rFonts w:hint="eastAsia" w:eastAsia="黑体"/>
          <w:sz w:val="32"/>
          <w:szCs w:val="32"/>
        </w:rPr>
        <w:t xml:space="preserve"> 比选申请</w:t>
      </w:r>
      <w:r>
        <w:rPr>
          <w:rFonts w:eastAsia="黑体"/>
          <w:sz w:val="32"/>
          <w:szCs w:val="32"/>
        </w:rPr>
        <w:t>文件格式</w:t>
      </w:r>
      <w:bookmarkEnd w:id="179"/>
      <w:bookmarkEnd w:id="180"/>
      <w:bookmarkEnd w:id="181"/>
    </w:p>
    <w:p>
      <w:pPr>
        <w:keepNext/>
        <w:keepLines/>
        <w:spacing w:before="260" w:after="260" w:line="276" w:lineRule="auto"/>
        <w:jc w:val="center"/>
        <w:outlineLvl w:val="1"/>
        <w:rPr>
          <w:b/>
          <w:bCs/>
          <w:sz w:val="30"/>
          <w:szCs w:val="30"/>
        </w:rPr>
      </w:pPr>
      <w:bookmarkStart w:id="182" w:name="_Toc12696"/>
      <w:bookmarkStart w:id="183" w:name="_Toc20218"/>
      <w:bookmarkStart w:id="184" w:name="_Toc414979538"/>
      <w:r>
        <w:rPr>
          <w:rFonts w:hint="eastAsia" w:ascii="Arial" w:hAnsi="Arial"/>
          <w:b/>
          <w:bCs/>
          <w:sz w:val="32"/>
          <w:szCs w:val="32"/>
        </w:rPr>
        <w:t>一、比 选 申 请 函</w:t>
      </w:r>
      <w:bookmarkEnd w:id="182"/>
      <w:bookmarkEnd w:id="183"/>
      <w:bookmarkEnd w:id="184"/>
    </w:p>
    <w:p>
      <w:pPr>
        <w:spacing w:line="360" w:lineRule="auto"/>
        <w:rPr>
          <w:rFonts w:ascii="宋体" w:hAnsi="宋体"/>
          <w:bCs/>
          <w:sz w:val="24"/>
        </w:rPr>
      </w:pPr>
      <w:r>
        <w:rPr>
          <w:rFonts w:hint="eastAsia" w:ascii="宋体" w:hAnsi="宋体"/>
          <w:sz w:val="24"/>
        </w:rPr>
        <w:t>__________________（比选代理机构名称）：</w:t>
      </w:r>
    </w:p>
    <w:p>
      <w:pPr>
        <w:spacing w:line="360" w:lineRule="auto"/>
        <w:ind w:firstLine="480" w:firstLineChars="200"/>
        <w:rPr>
          <w:rFonts w:ascii="宋体" w:hAnsi="宋体"/>
          <w:bCs/>
          <w:sz w:val="24"/>
        </w:rPr>
      </w:pPr>
      <w:r>
        <w:rPr>
          <w:rFonts w:hint="eastAsia" w:ascii="宋体" w:hAnsi="宋体"/>
          <w:bCs/>
          <w:sz w:val="24"/>
        </w:rPr>
        <w:t>我方全面研究了“”项目比选文件，决定参加贵公司组织的本项目的比选。我方授权（姓名、职务）代表我方（比选申请单位的名称）全权处理本项目比选申请的有关事宜。</w:t>
      </w:r>
    </w:p>
    <w:p>
      <w:pPr>
        <w:numPr>
          <w:ilvl w:val="0"/>
          <w:numId w:val="1"/>
        </w:numPr>
        <w:spacing w:line="360" w:lineRule="auto"/>
        <w:ind w:left="315" w:leftChars="150" w:firstLine="120" w:firstLineChars="50"/>
        <w:rPr>
          <w:rFonts w:ascii="宋体" w:hAnsi="宋体"/>
          <w:bCs/>
          <w:sz w:val="24"/>
        </w:rPr>
      </w:pPr>
      <w:r>
        <w:rPr>
          <w:rFonts w:hint="eastAsia" w:ascii="宋体" w:hAnsi="宋体"/>
          <w:bCs/>
          <w:sz w:val="24"/>
        </w:rPr>
        <w:t>我方自愿按照比选文件规定的各项要求向采购人提供所需服务，比选报价</w:t>
      </w:r>
      <w:r>
        <w:rPr>
          <w:rFonts w:hint="eastAsia" w:ascii="宋体" w:hAnsi="宋体"/>
          <w:bCs/>
          <w:sz w:val="24"/>
          <w:u w:val="single"/>
        </w:rPr>
        <w:t xml:space="preserve">         元</w:t>
      </w:r>
      <w:r>
        <w:rPr>
          <w:rFonts w:hint="eastAsia" w:ascii="宋体" w:hAnsi="宋体"/>
          <w:bCs/>
          <w:sz w:val="24"/>
        </w:rPr>
        <w:t xml:space="preserve">，（大写： ）。 </w:t>
      </w:r>
    </w:p>
    <w:p>
      <w:pPr>
        <w:spacing w:line="360" w:lineRule="auto"/>
        <w:ind w:firstLine="480" w:firstLineChars="200"/>
        <w:rPr>
          <w:rFonts w:ascii="宋体" w:hAnsi="宋体"/>
          <w:bCs/>
          <w:sz w:val="24"/>
        </w:rPr>
      </w:pPr>
      <w:r>
        <w:rPr>
          <w:rFonts w:hint="eastAsia" w:ascii="宋体" w:hAnsi="宋体"/>
          <w:bCs/>
          <w:sz w:val="24"/>
        </w:rPr>
        <w:t>2、一旦我方成交，我方将严格履行合同规定的责任和义务，保证于合同签字生效后在规定的期限内完成项目的服务，并交付采购人验收、使用。</w:t>
      </w:r>
    </w:p>
    <w:p>
      <w:pPr>
        <w:spacing w:line="360" w:lineRule="auto"/>
        <w:ind w:firstLine="480" w:firstLineChars="200"/>
        <w:rPr>
          <w:rFonts w:ascii="宋体" w:hAnsi="宋体"/>
          <w:bCs/>
          <w:sz w:val="24"/>
        </w:rPr>
      </w:pPr>
      <w:r>
        <w:rPr>
          <w:rFonts w:hint="eastAsia" w:ascii="宋体" w:hAnsi="宋体"/>
          <w:bCs/>
          <w:sz w:val="24"/>
        </w:rPr>
        <w:t>3、我方为本项目提交的比选申请文件正本1份，副本</w:t>
      </w:r>
      <w:r>
        <w:rPr>
          <w:rFonts w:hint="eastAsia" w:ascii="宋体" w:hAnsi="宋体"/>
          <w:sz w:val="24"/>
        </w:rPr>
        <w:t>2</w:t>
      </w:r>
      <w:r>
        <w:rPr>
          <w:rFonts w:hint="eastAsia" w:ascii="宋体" w:hAnsi="宋体"/>
          <w:bCs/>
          <w:sz w:val="24"/>
        </w:rPr>
        <w:t>份，比选</w:t>
      </w:r>
      <w:r>
        <w:rPr>
          <w:rFonts w:ascii="宋体" w:hAnsi="宋体"/>
          <w:bCs/>
          <w:sz w:val="24"/>
        </w:rPr>
        <w:t>申请文件</w:t>
      </w:r>
      <w:r>
        <w:rPr>
          <w:rFonts w:hint="eastAsia" w:ascii="宋体" w:hAnsi="宋体"/>
          <w:bCs/>
          <w:sz w:val="24"/>
        </w:rPr>
        <w:t>电子档U盘1份。</w:t>
      </w:r>
    </w:p>
    <w:p>
      <w:pPr>
        <w:spacing w:line="360" w:lineRule="auto"/>
        <w:ind w:firstLine="480" w:firstLineChars="200"/>
        <w:rPr>
          <w:rFonts w:ascii="宋体" w:hAnsi="宋体"/>
          <w:bCs/>
          <w:sz w:val="24"/>
        </w:rPr>
      </w:pPr>
      <w:r>
        <w:rPr>
          <w:rFonts w:hint="eastAsia" w:ascii="宋体" w:hAnsi="宋体"/>
          <w:bCs/>
          <w:sz w:val="24"/>
        </w:rPr>
        <w:t>4、我方愿意提供贵公司可能另外要求的，与比选有关的文件资料，并保证我方已提供和将要提供的文件资料是真实、准确的。</w:t>
      </w:r>
    </w:p>
    <w:p>
      <w:pPr>
        <w:spacing w:line="360" w:lineRule="auto"/>
        <w:ind w:firstLine="480" w:firstLineChars="200"/>
        <w:rPr>
          <w:rFonts w:ascii="宋体" w:hAnsi="宋体"/>
          <w:bCs/>
          <w:sz w:val="24"/>
        </w:rPr>
      </w:pPr>
      <w:r>
        <w:rPr>
          <w:rFonts w:ascii="宋体" w:hAnsi="宋体"/>
          <w:bCs/>
          <w:sz w:val="24"/>
        </w:rPr>
        <w:t>7</w:t>
      </w:r>
      <w:r>
        <w:rPr>
          <w:rFonts w:hint="eastAsia" w:ascii="宋体" w:hAnsi="宋体"/>
          <w:bCs/>
          <w:sz w:val="24"/>
        </w:rPr>
        <w:t>、我方完全理解采购人不一定将合同授予最低报价的比选申请人的行为。</w:t>
      </w:r>
    </w:p>
    <w:p>
      <w:pPr>
        <w:spacing w:line="360" w:lineRule="auto"/>
        <w:ind w:firstLine="480" w:firstLineChars="200"/>
        <w:rPr>
          <w:rFonts w:ascii="宋体" w:hAnsi="宋体"/>
          <w:bCs/>
          <w:sz w:val="24"/>
        </w:rPr>
      </w:pPr>
      <w:r>
        <w:rPr>
          <w:rFonts w:hint="eastAsia" w:ascii="宋体" w:hAnsi="宋体"/>
          <w:bCs/>
          <w:sz w:val="24"/>
        </w:rPr>
        <w:t>8、我</w:t>
      </w:r>
      <w:r>
        <w:rPr>
          <w:rFonts w:ascii="宋体" w:hAnsi="宋体"/>
          <w:bCs/>
          <w:sz w:val="24"/>
        </w:rPr>
        <w:t>方</w:t>
      </w:r>
      <w:r>
        <w:rPr>
          <w:rFonts w:hint="eastAsia" w:ascii="宋体" w:hAnsi="宋体"/>
          <w:bCs/>
          <w:sz w:val="24"/>
        </w:rPr>
        <w:t>参加</w:t>
      </w:r>
      <w:r>
        <w:rPr>
          <w:rFonts w:ascii="宋体" w:hAnsi="宋体"/>
          <w:bCs/>
          <w:sz w:val="24"/>
        </w:rPr>
        <w:t>本次项目的比选有效期为</w:t>
      </w:r>
      <w:r>
        <w:rPr>
          <w:rFonts w:hint="eastAsia" w:ascii="宋体" w:hAnsi="宋体"/>
          <w:bCs/>
          <w:sz w:val="24"/>
        </w:rPr>
        <w:t>递交比选申请文件截止之日起</w:t>
      </w:r>
      <w:r>
        <w:rPr>
          <w:rFonts w:ascii="宋体" w:hAnsi="宋体"/>
          <w:bCs/>
          <w:sz w:val="24"/>
          <w:u w:val="single"/>
        </w:rPr>
        <w:t>60</w:t>
      </w:r>
      <w:r>
        <w:rPr>
          <w:rFonts w:hint="eastAsia" w:ascii="宋体" w:hAnsi="宋体"/>
          <w:bCs/>
          <w:sz w:val="24"/>
        </w:rPr>
        <w:t>日</w:t>
      </w:r>
      <w:r>
        <w:rPr>
          <w:rFonts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9、我方接受本次项目付款要求。</w:t>
      </w:r>
    </w:p>
    <w:p>
      <w:pPr>
        <w:spacing w:line="360" w:lineRule="auto"/>
        <w:ind w:firstLine="480" w:firstLineChars="200"/>
        <w:rPr>
          <w:rFonts w:ascii="宋体" w:hAnsi="宋体"/>
          <w:bCs/>
          <w:sz w:val="24"/>
        </w:rPr>
      </w:pPr>
      <w:r>
        <w:rPr>
          <w:rFonts w:hint="eastAsia" w:ascii="宋体" w:hAnsi="宋体"/>
          <w:bCs/>
          <w:sz w:val="24"/>
        </w:rPr>
        <w:t>比选申请人名称：        （盖章）</w:t>
      </w:r>
    </w:p>
    <w:p>
      <w:pPr>
        <w:spacing w:line="360" w:lineRule="auto"/>
        <w:ind w:firstLine="480" w:firstLineChars="200"/>
        <w:rPr>
          <w:rFonts w:ascii="宋体" w:hAnsi="宋体"/>
          <w:bCs/>
          <w:sz w:val="24"/>
        </w:rPr>
      </w:pPr>
      <w:r>
        <w:rPr>
          <w:rFonts w:hint="eastAsia" w:ascii="宋体" w:hAnsi="宋体"/>
          <w:bCs/>
          <w:sz w:val="24"/>
        </w:rPr>
        <w:t>法定代表人或授权代表（签字）：</w:t>
      </w:r>
    </w:p>
    <w:p>
      <w:pPr>
        <w:spacing w:line="360" w:lineRule="auto"/>
        <w:ind w:firstLine="480" w:firstLineChars="200"/>
        <w:rPr>
          <w:rFonts w:ascii="宋体" w:hAnsi="宋体"/>
          <w:bCs/>
          <w:sz w:val="24"/>
        </w:rPr>
      </w:pPr>
      <w:r>
        <w:rPr>
          <w:rFonts w:hint="eastAsia" w:ascii="宋体" w:hAnsi="宋体"/>
          <w:bCs/>
          <w:sz w:val="24"/>
        </w:rPr>
        <w:t>通讯地址：</w:t>
      </w:r>
    </w:p>
    <w:p>
      <w:pPr>
        <w:spacing w:line="360" w:lineRule="auto"/>
        <w:ind w:firstLine="480" w:firstLineChars="200"/>
        <w:rPr>
          <w:rFonts w:ascii="宋体" w:hAnsi="宋体"/>
          <w:bCs/>
          <w:sz w:val="24"/>
        </w:rPr>
      </w:pPr>
      <w:r>
        <w:rPr>
          <w:rFonts w:hint="eastAsia" w:ascii="宋体" w:hAnsi="宋体"/>
          <w:bCs/>
          <w:sz w:val="24"/>
        </w:rPr>
        <w:t>邮政编码：</w:t>
      </w:r>
    </w:p>
    <w:p>
      <w:pPr>
        <w:spacing w:line="360" w:lineRule="auto"/>
        <w:ind w:firstLine="480" w:firstLineChars="200"/>
        <w:rPr>
          <w:rFonts w:ascii="宋体" w:hAnsi="宋体"/>
          <w:bCs/>
          <w:sz w:val="24"/>
        </w:rPr>
      </w:pPr>
      <w:r>
        <w:rPr>
          <w:rFonts w:hint="eastAsia" w:ascii="宋体" w:hAnsi="宋体"/>
          <w:bCs/>
          <w:sz w:val="24"/>
        </w:rPr>
        <w:t>联系电话：</w:t>
      </w:r>
    </w:p>
    <w:p>
      <w:pPr>
        <w:spacing w:line="360" w:lineRule="auto"/>
        <w:ind w:firstLine="480"/>
        <w:rPr>
          <w:rFonts w:ascii="宋体" w:hAnsi="宋体"/>
          <w:bCs/>
          <w:sz w:val="24"/>
        </w:rPr>
      </w:pPr>
      <w:r>
        <w:rPr>
          <w:rFonts w:hint="eastAsia" w:ascii="宋体" w:hAnsi="宋体"/>
          <w:bCs/>
          <w:sz w:val="24"/>
        </w:rPr>
        <w:t>日    期：</w:t>
      </w:r>
      <w:bookmarkStart w:id="185" w:name="_Toc217446082"/>
    </w:p>
    <w:p>
      <w:pPr>
        <w:spacing w:line="288" w:lineRule="auto"/>
        <w:ind w:firstLine="480"/>
        <w:rPr>
          <w:rFonts w:ascii="宋体" w:hAnsi="宋体"/>
          <w:bCs/>
          <w:sz w:val="24"/>
        </w:rPr>
      </w:pPr>
    </w:p>
    <w:p>
      <w:pPr>
        <w:spacing w:line="288" w:lineRule="auto"/>
        <w:ind w:firstLine="480"/>
        <w:rPr>
          <w:rFonts w:ascii="宋体" w:hAnsi="宋体"/>
          <w:bCs/>
          <w:sz w:val="24"/>
        </w:rPr>
      </w:pPr>
    </w:p>
    <w:p>
      <w:pPr>
        <w:spacing w:line="288" w:lineRule="auto"/>
        <w:ind w:firstLine="480"/>
        <w:rPr>
          <w:rFonts w:ascii="宋体" w:hAnsi="宋体"/>
          <w:bCs/>
          <w:sz w:val="24"/>
        </w:rPr>
      </w:pPr>
    </w:p>
    <w:p>
      <w:pPr>
        <w:spacing w:line="288" w:lineRule="auto"/>
        <w:ind w:firstLine="480"/>
        <w:rPr>
          <w:rFonts w:ascii="宋体" w:hAnsi="宋体"/>
          <w:bCs/>
          <w:sz w:val="24"/>
        </w:rPr>
      </w:pPr>
    </w:p>
    <w:p>
      <w:pPr>
        <w:spacing w:line="288" w:lineRule="auto"/>
        <w:ind w:firstLine="480"/>
        <w:rPr>
          <w:rFonts w:ascii="宋体" w:hAnsi="宋体"/>
          <w:bCs/>
          <w:sz w:val="24"/>
        </w:rPr>
      </w:pPr>
    </w:p>
    <w:p>
      <w:pPr>
        <w:spacing w:line="288" w:lineRule="auto"/>
        <w:ind w:firstLine="480"/>
        <w:rPr>
          <w:rFonts w:ascii="宋体" w:hAnsi="宋体"/>
          <w:bCs/>
          <w:sz w:val="24"/>
        </w:rPr>
      </w:pPr>
    </w:p>
    <w:bookmarkEnd w:id="185"/>
    <w:p>
      <w:pPr>
        <w:spacing w:line="276" w:lineRule="auto"/>
        <w:rPr>
          <w:sz w:val="28"/>
        </w:rPr>
      </w:pPr>
      <w:bookmarkStart w:id="186" w:name="_Toc414979539"/>
      <w:bookmarkStart w:id="187" w:name="_Toc217446083"/>
    </w:p>
    <w:p>
      <w:pPr>
        <w:pStyle w:val="4"/>
        <w:jc w:val="center"/>
        <w:rPr>
          <w:b w:val="0"/>
          <w:sz w:val="44"/>
        </w:rPr>
      </w:pPr>
      <w:bookmarkStart w:id="188" w:name="_Toc13298"/>
      <w:bookmarkStart w:id="189" w:name="_Toc14114"/>
      <w:r>
        <w:rPr>
          <w:rFonts w:ascii="Times New Roman" w:hAnsi="Times New Roman"/>
          <w:sz w:val="28"/>
        </w:rPr>
        <w:t>二、法定代表人授权书</w:t>
      </w:r>
      <w:bookmarkEnd w:id="186"/>
      <w:bookmarkEnd w:id="187"/>
      <w:bookmarkEnd w:id="188"/>
      <w:bookmarkEnd w:id="189"/>
    </w:p>
    <w:p>
      <w:pPr>
        <w:spacing w:line="400" w:lineRule="exact"/>
        <w:rPr>
          <w:sz w:val="24"/>
        </w:rPr>
      </w:pPr>
      <w:r>
        <w:rPr>
          <w:sz w:val="24"/>
        </w:rPr>
        <w:t>__________________（</w:t>
      </w:r>
      <w:r>
        <w:rPr>
          <w:rFonts w:hint="eastAsia"/>
          <w:sz w:val="24"/>
        </w:rPr>
        <w:t>比选</w:t>
      </w:r>
      <w:r>
        <w:rPr>
          <w:sz w:val="24"/>
        </w:rPr>
        <w:t>代理机构名称）：</w:t>
      </w:r>
    </w:p>
    <w:p>
      <w:pPr>
        <w:spacing w:line="400" w:lineRule="exact"/>
        <w:ind w:firstLine="480" w:firstLineChars="200"/>
        <w:rPr>
          <w:sz w:val="24"/>
        </w:rPr>
      </w:pPr>
      <w:r>
        <w:rPr>
          <w:sz w:val="24"/>
        </w:rPr>
        <w:t>本授权声明：（</w:t>
      </w:r>
      <w:r>
        <w:rPr>
          <w:rFonts w:hint="eastAsia"/>
          <w:sz w:val="24"/>
        </w:rPr>
        <w:t>比选申请</w:t>
      </w:r>
      <w:r>
        <w:rPr>
          <w:sz w:val="24"/>
        </w:rPr>
        <w:t>人名称）（法定代表人姓名、职务）授权（被授权人姓名、职务）为我方 “ ” 项目</w:t>
      </w:r>
      <w:r>
        <w:rPr>
          <w:rFonts w:hint="eastAsia"/>
          <w:sz w:val="24"/>
        </w:rPr>
        <w:t>比选</w:t>
      </w:r>
      <w:r>
        <w:rPr>
          <w:sz w:val="24"/>
        </w:rPr>
        <w:t>活动的合法代表，以我方名义全权处理该项目有关</w:t>
      </w:r>
      <w:r>
        <w:rPr>
          <w:rFonts w:hint="eastAsia"/>
          <w:sz w:val="24"/>
        </w:rPr>
        <w:t>比选</w:t>
      </w:r>
      <w:r>
        <w:rPr>
          <w:sz w:val="24"/>
        </w:rPr>
        <w:t>、签订合同以及执行合同等一切事宜。</w:t>
      </w:r>
    </w:p>
    <w:p>
      <w:pPr>
        <w:spacing w:line="400" w:lineRule="exact"/>
        <w:ind w:firstLine="480" w:firstLineChars="200"/>
        <w:rPr>
          <w:sz w:val="24"/>
        </w:rPr>
      </w:pPr>
    </w:p>
    <w:p>
      <w:pPr>
        <w:spacing w:line="400" w:lineRule="exact"/>
        <w:ind w:firstLine="480" w:firstLineChars="200"/>
        <w:rPr>
          <w:sz w:val="24"/>
        </w:rPr>
      </w:pPr>
      <w:r>
        <w:rPr>
          <w:sz w:val="24"/>
        </w:rPr>
        <w:t>特此声明。</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sz w:val="24"/>
        </w:rPr>
        <w:t>法定代表人签字：</w:t>
      </w:r>
    </w:p>
    <w:p>
      <w:pPr>
        <w:spacing w:line="400" w:lineRule="exact"/>
        <w:ind w:firstLine="480" w:firstLineChars="200"/>
        <w:rPr>
          <w:sz w:val="24"/>
        </w:rPr>
      </w:pPr>
      <w:r>
        <w:rPr>
          <w:sz w:val="24"/>
        </w:rPr>
        <w:t>授权代表签字：</w:t>
      </w:r>
    </w:p>
    <w:p>
      <w:pPr>
        <w:spacing w:line="400" w:lineRule="exact"/>
        <w:ind w:firstLine="480" w:firstLineChars="200"/>
        <w:rPr>
          <w:sz w:val="24"/>
        </w:rPr>
      </w:pPr>
      <w:r>
        <w:rPr>
          <w:rFonts w:hint="eastAsia"/>
          <w:sz w:val="24"/>
        </w:rPr>
        <w:t>比选申请</w:t>
      </w:r>
      <w:r>
        <w:rPr>
          <w:sz w:val="24"/>
        </w:rPr>
        <w:t>人名称：         （盖章）</w:t>
      </w:r>
    </w:p>
    <w:p>
      <w:pPr>
        <w:spacing w:line="400" w:lineRule="exact"/>
        <w:ind w:firstLine="480" w:firstLineChars="200"/>
        <w:rPr>
          <w:sz w:val="24"/>
        </w:rPr>
      </w:pPr>
      <w:r>
        <w:rPr>
          <w:sz w:val="24"/>
        </w:rPr>
        <w:t>日    期：</w:t>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r>
        <w:rPr>
          <w:rFonts w:hint="eastAsia"/>
          <w:sz w:val="24"/>
        </w:rPr>
        <w:t>备注</w:t>
      </w:r>
      <w:r>
        <w:rPr>
          <w:sz w:val="24"/>
        </w:rPr>
        <w:t>：后附法定代表人</w:t>
      </w:r>
      <w:r>
        <w:rPr>
          <w:rFonts w:hint="eastAsia"/>
          <w:sz w:val="24"/>
        </w:rPr>
        <w:t>及</w:t>
      </w:r>
      <w:r>
        <w:rPr>
          <w:sz w:val="24"/>
        </w:rPr>
        <w:t>被授权人</w:t>
      </w:r>
      <w:r>
        <w:rPr>
          <w:rFonts w:hint="eastAsia"/>
          <w:sz w:val="24"/>
        </w:rPr>
        <w:t>身份证</w:t>
      </w:r>
      <w:r>
        <w:rPr>
          <w:sz w:val="24"/>
        </w:rPr>
        <w:t>复印件</w:t>
      </w:r>
      <w:r>
        <w:rPr>
          <w:rFonts w:hint="eastAsia"/>
          <w:sz w:val="24"/>
        </w:rPr>
        <w:t>。</w:t>
      </w:r>
    </w:p>
    <w:p>
      <w:pPr>
        <w:rPr>
          <w:sz w:val="24"/>
        </w:rPr>
      </w:pPr>
      <w:bookmarkStart w:id="190" w:name="_Toc217446085"/>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rFonts w:hint="eastAsia"/>
          <w:sz w:val="2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
    <w:p>
      <w:pPr>
        <w:pStyle w:val="2"/>
      </w:pPr>
    </w:p>
    <w:p>
      <w:pPr>
        <w:pStyle w:val="4"/>
        <w:spacing w:line="400" w:lineRule="exact"/>
        <w:jc w:val="center"/>
        <w:rPr>
          <w:rFonts w:ascii="宋体" w:hAnsi="宋体"/>
          <w:sz w:val="24"/>
        </w:rPr>
      </w:pPr>
      <w:bookmarkStart w:id="191" w:name="_Toc414979540"/>
      <w:bookmarkStart w:id="192" w:name="_Toc15648"/>
      <w:bookmarkStart w:id="193" w:name="_Toc27759"/>
      <w:r>
        <w:rPr>
          <w:rFonts w:ascii="Times New Roman" w:hAnsi="Times New Roman"/>
          <w:bCs w:val="0"/>
          <w:sz w:val="28"/>
          <w:szCs w:val="28"/>
        </w:rPr>
        <w:t>三、开标一览表</w:t>
      </w:r>
      <w:bookmarkEnd w:id="190"/>
      <w:bookmarkEnd w:id="191"/>
      <w:bookmarkEnd w:id="192"/>
      <w:bookmarkEnd w:id="193"/>
    </w:p>
    <w:p>
      <w:pPr>
        <w:spacing w:line="400" w:lineRule="exact"/>
        <w:rPr>
          <w:rFonts w:ascii="宋体" w:hAnsi="宋体"/>
          <w:sz w:val="24"/>
        </w:rPr>
      </w:pPr>
    </w:p>
    <w:tbl>
      <w:tblPr>
        <w:tblStyle w:val="14"/>
        <w:tblpPr w:leftFromText="180" w:rightFromText="180" w:vertAnchor="text" w:horzAnchor="page" w:tblpX="1302" w:tblpY="378"/>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2"/>
        <w:gridCol w:w="620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78" w:hRule="atLeast"/>
        </w:trPr>
        <w:tc>
          <w:tcPr>
            <w:tcW w:w="2952" w:type="dxa"/>
            <w:tcBorders>
              <w:top w:val="single" w:color="000000" w:sz="6" w:space="0"/>
            </w:tcBorders>
            <w:noWrap/>
            <w:vAlign w:val="center"/>
          </w:tcPr>
          <w:p>
            <w:pPr>
              <w:spacing w:line="580" w:lineRule="exact"/>
              <w:jc w:val="center"/>
              <w:rPr>
                <w:rFonts w:ascii="宋体" w:hAnsi="宋体"/>
                <w:sz w:val="24"/>
              </w:rPr>
            </w:pPr>
            <w:r>
              <w:rPr>
                <w:rFonts w:hint="eastAsia" w:ascii="宋体" w:hAnsi="宋体"/>
                <w:sz w:val="24"/>
              </w:rPr>
              <w:t>项目名称</w:t>
            </w:r>
          </w:p>
        </w:tc>
        <w:tc>
          <w:tcPr>
            <w:tcW w:w="6208" w:type="dxa"/>
            <w:tcBorders>
              <w:top w:val="single" w:color="000000" w:sz="6" w:space="0"/>
            </w:tcBorders>
            <w:noWrap/>
            <w:vAlign w:val="center"/>
          </w:tcPr>
          <w:p>
            <w:pPr>
              <w:spacing w:line="580" w:lineRule="exact"/>
              <w:jc w:val="center"/>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trPr>
        <w:tc>
          <w:tcPr>
            <w:tcW w:w="2952" w:type="dxa"/>
            <w:tcBorders>
              <w:top w:val="single" w:color="000000" w:sz="6" w:space="0"/>
            </w:tcBorders>
            <w:noWrap/>
            <w:vAlign w:val="center"/>
          </w:tcPr>
          <w:p>
            <w:pPr>
              <w:spacing w:line="580" w:lineRule="exact"/>
              <w:jc w:val="center"/>
              <w:rPr>
                <w:rFonts w:ascii="宋体" w:hAnsi="宋体"/>
                <w:sz w:val="24"/>
              </w:rPr>
            </w:pPr>
            <w:r>
              <w:rPr>
                <w:rFonts w:hint="eastAsia" w:ascii="宋体" w:hAnsi="宋体"/>
                <w:sz w:val="24"/>
              </w:rPr>
              <w:t>比选申请人名称</w:t>
            </w:r>
          </w:p>
        </w:tc>
        <w:tc>
          <w:tcPr>
            <w:tcW w:w="6208" w:type="dxa"/>
            <w:tcBorders>
              <w:top w:val="single" w:color="000000" w:sz="6" w:space="0"/>
            </w:tcBorders>
            <w:noWrap/>
            <w:vAlign w:val="center"/>
          </w:tcPr>
          <w:p>
            <w:pPr>
              <w:spacing w:line="580" w:lineRule="exact"/>
              <w:jc w:val="center"/>
              <w:rPr>
                <w:rFonts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trPr>
        <w:tc>
          <w:tcPr>
            <w:tcW w:w="2952" w:type="dxa"/>
            <w:tcBorders>
              <w:top w:val="single" w:color="000000" w:sz="6" w:space="0"/>
            </w:tcBorders>
            <w:noWrap/>
            <w:vAlign w:val="center"/>
          </w:tcPr>
          <w:p>
            <w:pPr>
              <w:spacing w:line="580" w:lineRule="exact"/>
              <w:jc w:val="center"/>
              <w:rPr>
                <w:rFonts w:ascii="宋体" w:hAnsi="宋体"/>
                <w:sz w:val="24"/>
              </w:rPr>
            </w:pPr>
            <w:r>
              <w:rPr>
                <w:rFonts w:hint="eastAsia" w:ascii="宋体" w:hAnsi="宋体"/>
                <w:sz w:val="24"/>
              </w:rPr>
              <w:t>服务期限</w:t>
            </w:r>
          </w:p>
        </w:tc>
        <w:tc>
          <w:tcPr>
            <w:tcW w:w="6208" w:type="dxa"/>
            <w:tcBorders>
              <w:top w:val="single" w:color="000000" w:sz="6" w:space="0"/>
            </w:tcBorders>
            <w:noWrap/>
            <w:vAlign w:val="center"/>
          </w:tcPr>
          <w:p>
            <w:pPr>
              <w:spacing w:line="580" w:lineRule="exact"/>
              <w:jc w:val="center"/>
              <w:rPr>
                <w:rFonts w:ascii="宋体" w:hAnsi="宋体"/>
                <w:sz w:val="24"/>
              </w:rPr>
            </w:pPr>
            <w:r>
              <w:rPr>
                <w:rFonts w:hint="eastAsia" w:ascii="宋体" w:hAnsi="宋体"/>
                <w:sz w:val="24"/>
              </w:rPr>
              <w:t>3年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3" w:hRule="atLeast"/>
        </w:trPr>
        <w:tc>
          <w:tcPr>
            <w:tcW w:w="2952" w:type="dxa"/>
            <w:tcBorders>
              <w:top w:val="single" w:color="auto" w:sz="4" w:space="0"/>
              <w:bottom w:val="single" w:color="auto" w:sz="4" w:space="0"/>
            </w:tcBorders>
            <w:noWrap/>
            <w:vAlign w:val="center"/>
          </w:tcPr>
          <w:p>
            <w:pPr>
              <w:spacing w:line="580" w:lineRule="exact"/>
              <w:jc w:val="center"/>
              <w:rPr>
                <w:rFonts w:ascii="宋体" w:hAnsi="宋体"/>
                <w:bCs/>
                <w:sz w:val="24"/>
              </w:rPr>
            </w:pPr>
            <w:r>
              <w:rPr>
                <w:rFonts w:hint="eastAsia" w:ascii="宋体" w:hAnsi="宋体"/>
                <w:sz w:val="24"/>
              </w:rPr>
              <w:t>投标报价（元/年）</w:t>
            </w:r>
          </w:p>
        </w:tc>
        <w:tc>
          <w:tcPr>
            <w:tcW w:w="6208" w:type="dxa"/>
            <w:noWrap/>
            <w:vAlign w:val="center"/>
          </w:tcPr>
          <w:p>
            <w:pPr>
              <w:spacing w:line="580" w:lineRule="exact"/>
              <w:rPr>
                <w:rFonts w:ascii="宋体" w:hAnsi="宋体"/>
                <w:bCs/>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81" w:hRule="atLeast"/>
        </w:trPr>
        <w:tc>
          <w:tcPr>
            <w:tcW w:w="2952" w:type="dxa"/>
            <w:tcBorders>
              <w:top w:val="single" w:color="auto" w:sz="4" w:space="0"/>
            </w:tcBorders>
            <w:noWrap/>
            <w:vAlign w:val="center"/>
          </w:tcPr>
          <w:p>
            <w:pPr>
              <w:spacing w:line="580" w:lineRule="exact"/>
              <w:jc w:val="center"/>
              <w:rPr>
                <w:rFonts w:ascii="宋体" w:hAnsi="宋体"/>
                <w:sz w:val="24"/>
              </w:rPr>
            </w:pPr>
            <w:r>
              <w:rPr>
                <w:rFonts w:hint="eastAsia" w:ascii="宋体" w:hAnsi="宋体"/>
                <w:sz w:val="24"/>
              </w:rPr>
              <w:t>投标总价（元）</w:t>
            </w:r>
          </w:p>
        </w:tc>
        <w:tc>
          <w:tcPr>
            <w:tcW w:w="6208" w:type="dxa"/>
            <w:noWrap/>
            <w:vAlign w:val="center"/>
          </w:tcPr>
          <w:p>
            <w:pPr>
              <w:spacing w:line="580" w:lineRule="exact"/>
              <w:rPr>
                <w:rFonts w:ascii="宋体" w:hAnsi="宋体"/>
                <w:bCs/>
                <w:sz w:val="24"/>
              </w:rPr>
            </w:pPr>
          </w:p>
        </w:tc>
      </w:tr>
    </w:tbl>
    <w:p>
      <w:pPr>
        <w:spacing w:line="400" w:lineRule="exact"/>
        <w:rPr>
          <w:rFonts w:ascii="宋体" w:hAnsi="宋体"/>
          <w:sz w:val="24"/>
        </w:rPr>
      </w:pPr>
    </w:p>
    <w:p>
      <w:pPr>
        <w:pStyle w:val="2"/>
      </w:pPr>
    </w:p>
    <w:p>
      <w:pPr>
        <w:spacing w:line="400" w:lineRule="exact"/>
        <w:rPr>
          <w:rFonts w:ascii="宋体" w:hAnsi="宋体"/>
          <w:sz w:val="28"/>
        </w:rPr>
      </w:pPr>
    </w:p>
    <w:p>
      <w:pPr>
        <w:snapToGrid w:val="0"/>
        <w:spacing w:line="440" w:lineRule="exact"/>
        <w:ind w:firstLine="460" w:firstLineChars="192"/>
        <w:rPr>
          <w:rFonts w:ascii="宋体" w:hAnsi="宋体"/>
          <w:sz w:val="24"/>
        </w:rPr>
      </w:pPr>
      <w:r>
        <w:rPr>
          <w:rFonts w:hint="eastAsia" w:ascii="宋体" w:hAnsi="宋体" w:cs="宋体"/>
          <w:sz w:val="24"/>
        </w:rPr>
        <w:t>1、报价应包含货款</w:t>
      </w:r>
      <w:r>
        <w:rPr>
          <w:rFonts w:hint="eastAsia" w:ascii="宋体" w:hAnsi="宋体"/>
          <w:sz w:val="24"/>
        </w:rPr>
        <w:t>、</w:t>
      </w:r>
      <w:r>
        <w:rPr>
          <w:rFonts w:hint="eastAsia" w:ascii="宋体" w:hAnsi="宋体" w:cs="宋体"/>
          <w:sz w:val="24"/>
        </w:rPr>
        <w:t>增值税发票</w:t>
      </w:r>
      <w:r>
        <w:rPr>
          <w:rFonts w:hint="eastAsia" w:ascii="宋体" w:hAnsi="宋体"/>
          <w:sz w:val="24"/>
        </w:rPr>
        <w:t>税费、代理费、</w:t>
      </w:r>
      <w:r>
        <w:rPr>
          <w:rFonts w:hint="eastAsia" w:ascii="宋体" w:hAnsi="宋体" w:cs="宋体"/>
          <w:sz w:val="24"/>
        </w:rPr>
        <w:t>售后服务费</w:t>
      </w:r>
      <w:r>
        <w:rPr>
          <w:rFonts w:hint="eastAsia" w:ascii="宋体" w:hAnsi="宋体"/>
          <w:sz w:val="24"/>
        </w:rPr>
        <w:t xml:space="preserve">和比选文件规定的其它所有费用。 </w:t>
      </w:r>
    </w:p>
    <w:p>
      <w:pPr>
        <w:spacing w:line="440" w:lineRule="exact"/>
        <w:ind w:firstLine="480" w:firstLineChars="200"/>
        <w:jc w:val="left"/>
        <w:rPr>
          <w:rFonts w:ascii="宋体" w:hAnsi="宋体"/>
          <w:sz w:val="24"/>
        </w:rPr>
      </w:pPr>
      <w:r>
        <w:rPr>
          <w:rFonts w:hint="eastAsia" w:ascii="宋体" w:hAnsi="宋体"/>
          <w:sz w:val="24"/>
        </w:rPr>
        <w:t>2、“开标一览表”以包为单位填写。</w:t>
      </w:r>
    </w:p>
    <w:p>
      <w:pPr>
        <w:adjustRightInd w:val="0"/>
        <w:spacing w:line="400" w:lineRule="exact"/>
        <w:ind w:firstLine="480" w:firstLineChars="200"/>
        <w:jc w:val="left"/>
        <w:rPr>
          <w:rFonts w:ascii="宋体" w:hAnsi="宋体"/>
          <w:sz w:val="24"/>
        </w:rPr>
      </w:pPr>
    </w:p>
    <w:p>
      <w:pPr>
        <w:spacing w:line="400" w:lineRule="exact"/>
        <w:rPr>
          <w:sz w:val="28"/>
        </w:rPr>
      </w:pPr>
    </w:p>
    <w:p>
      <w:pPr>
        <w:adjustRightInd w:val="0"/>
        <w:spacing w:line="400" w:lineRule="exact"/>
        <w:ind w:firstLine="480" w:firstLineChars="200"/>
        <w:jc w:val="left"/>
        <w:rPr>
          <w:rFonts w:ascii="宋体" w:hAnsi="宋体"/>
          <w:sz w:val="24"/>
        </w:rPr>
      </w:pPr>
    </w:p>
    <w:p>
      <w:pPr>
        <w:adjustRightInd w:val="0"/>
        <w:spacing w:line="400" w:lineRule="exact"/>
        <w:ind w:firstLine="480" w:firstLineChars="200"/>
        <w:jc w:val="left"/>
        <w:rPr>
          <w:sz w:val="24"/>
        </w:rPr>
      </w:pPr>
    </w:p>
    <w:p>
      <w:pPr>
        <w:adjustRightInd w:val="0"/>
        <w:spacing w:line="360" w:lineRule="auto"/>
        <w:ind w:firstLine="480" w:firstLineChars="200"/>
        <w:jc w:val="left"/>
        <w:rPr>
          <w:sz w:val="24"/>
        </w:rPr>
      </w:pPr>
      <w:r>
        <w:rPr>
          <w:rFonts w:hint="eastAsia"/>
          <w:sz w:val="24"/>
        </w:rPr>
        <w:t>比选申请</w:t>
      </w:r>
      <w:r>
        <w:rPr>
          <w:sz w:val="24"/>
        </w:rPr>
        <w:t>人名称：        （盖章）</w:t>
      </w:r>
    </w:p>
    <w:p>
      <w:pPr>
        <w:adjustRightInd w:val="0"/>
        <w:spacing w:line="360" w:lineRule="auto"/>
        <w:ind w:firstLine="480" w:firstLineChars="200"/>
        <w:jc w:val="left"/>
        <w:rPr>
          <w:sz w:val="24"/>
        </w:rPr>
      </w:pPr>
      <w:r>
        <w:rPr>
          <w:sz w:val="24"/>
        </w:rPr>
        <w:t>法定代表人或授权代表（签字）：</w:t>
      </w:r>
    </w:p>
    <w:p>
      <w:pPr>
        <w:adjustRightInd w:val="0"/>
        <w:spacing w:line="360" w:lineRule="auto"/>
        <w:ind w:firstLine="480" w:firstLineChars="200"/>
        <w:jc w:val="left"/>
        <w:rPr>
          <w:sz w:val="24"/>
        </w:rPr>
        <w:sectPr>
          <w:footerReference r:id="rId6" w:type="default"/>
          <w:pgSz w:w="11907" w:h="16840"/>
          <w:pgMar w:top="1440" w:right="1474" w:bottom="1440" w:left="1474" w:header="851" w:footer="992" w:gutter="0"/>
          <w:cols w:space="720" w:num="1"/>
          <w:docGrid w:linePitch="312" w:charSpace="0"/>
        </w:sectPr>
      </w:pPr>
      <w:r>
        <w:rPr>
          <w:sz w:val="24"/>
        </w:rPr>
        <w:t>日期：</w:t>
      </w:r>
    </w:p>
    <w:p>
      <w:pPr>
        <w:pStyle w:val="4"/>
        <w:spacing w:line="400" w:lineRule="exact"/>
        <w:jc w:val="center"/>
        <w:rPr>
          <w:kern w:val="0"/>
          <w:sz w:val="20"/>
        </w:rPr>
      </w:pPr>
      <w:bookmarkStart w:id="194" w:name="_Toc10972"/>
      <w:bookmarkStart w:id="195" w:name="_Toc414979543"/>
      <w:bookmarkStart w:id="196" w:name="_Toc217446088"/>
      <w:bookmarkStart w:id="197" w:name="_Toc29031"/>
      <w:r>
        <w:rPr>
          <w:rFonts w:hint="eastAsia" w:ascii="Times New Roman" w:hAnsi="Times New Roman"/>
          <w:kern w:val="0"/>
          <w:sz w:val="28"/>
          <w:szCs w:val="28"/>
        </w:rPr>
        <w:t>四</w:t>
      </w:r>
      <w:r>
        <w:rPr>
          <w:rFonts w:ascii="Times New Roman" w:hAnsi="Times New Roman"/>
          <w:kern w:val="0"/>
          <w:sz w:val="28"/>
          <w:szCs w:val="28"/>
        </w:rPr>
        <w:t>、</w:t>
      </w:r>
      <w:r>
        <w:rPr>
          <w:rFonts w:hint="eastAsia" w:ascii="Times New Roman" w:hAnsi="Times New Roman"/>
          <w:bCs w:val="0"/>
          <w:kern w:val="0"/>
          <w:sz w:val="28"/>
          <w:szCs w:val="28"/>
        </w:rPr>
        <w:t>比选申请</w:t>
      </w:r>
      <w:r>
        <w:rPr>
          <w:rFonts w:ascii="Times New Roman" w:hAnsi="Times New Roman"/>
          <w:bCs w:val="0"/>
          <w:kern w:val="0"/>
          <w:sz w:val="28"/>
          <w:szCs w:val="28"/>
        </w:rPr>
        <w:t>人基本情况表</w:t>
      </w:r>
      <w:bookmarkEnd w:id="194"/>
      <w:bookmarkEnd w:id="195"/>
      <w:bookmarkEnd w:id="196"/>
      <w:bookmarkEnd w:id="197"/>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004"/>
        <w:gridCol w:w="1245"/>
        <w:gridCol w:w="1296"/>
        <w:gridCol w:w="7"/>
        <w:gridCol w:w="1368"/>
        <w:gridCol w:w="167"/>
        <w:gridCol w:w="105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52" w:type="dxa"/>
            <w:noWrap/>
            <w:vAlign w:val="center"/>
          </w:tcPr>
          <w:p>
            <w:pPr>
              <w:autoSpaceDE w:val="0"/>
              <w:autoSpaceDN w:val="0"/>
              <w:adjustRightInd w:val="0"/>
              <w:spacing w:line="400" w:lineRule="exact"/>
              <w:jc w:val="center"/>
              <w:rPr>
                <w:kern w:val="0"/>
                <w:sz w:val="24"/>
              </w:rPr>
            </w:pPr>
            <w:r>
              <w:rPr>
                <w:rFonts w:hint="eastAsia"/>
                <w:kern w:val="0"/>
                <w:sz w:val="24"/>
              </w:rPr>
              <w:t>比选申请</w:t>
            </w:r>
          </w:p>
          <w:p>
            <w:pPr>
              <w:autoSpaceDE w:val="0"/>
              <w:autoSpaceDN w:val="0"/>
              <w:adjustRightInd w:val="0"/>
              <w:spacing w:line="400" w:lineRule="exact"/>
              <w:jc w:val="center"/>
              <w:rPr>
                <w:kern w:val="0"/>
                <w:sz w:val="24"/>
              </w:rPr>
            </w:pPr>
            <w:r>
              <w:rPr>
                <w:kern w:val="0"/>
                <w:sz w:val="24"/>
              </w:rPr>
              <w:t>人名称</w:t>
            </w:r>
          </w:p>
        </w:tc>
        <w:tc>
          <w:tcPr>
            <w:tcW w:w="7248" w:type="dxa"/>
            <w:gridSpan w:val="8"/>
            <w:noWrap/>
            <w:vAlign w:val="center"/>
          </w:tcPr>
          <w:p>
            <w:pPr>
              <w:autoSpaceDE w:val="0"/>
              <w:autoSpaceDN w:val="0"/>
              <w:adjustRightInd w:val="0"/>
              <w:spacing w:line="4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52" w:type="dxa"/>
            <w:noWrap/>
            <w:vAlign w:val="center"/>
          </w:tcPr>
          <w:p>
            <w:pPr>
              <w:autoSpaceDE w:val="0"/>
              <w:autoSpaceDN w:val="0"/>
              <w:adjustRightInd w:val="0"/>
              <w:spacing w:line="400" w:lineRule="exact"/>
              <w:jc w:val="center"/>
              <w:rPr>
                <w:kern w:val="0"/>
                <w:sz w:val="24"/>
              </w:rPr>
            </w:pPr>
            <w:r>
              <w:rPr>
                <w:kern w:val="0"/>
                <w:sz w:val="24"/>
              </w:rPr>
              <w:t>注册地址</w:t>
            </w:r>
          </w:p>
        </w:tc>
        <w:tc>
          <w:tcPr>
            <w:tcW w:w="3552" w:type="dxa"/>
            <w:gridSpan w:val="4"/>
            <w:noWrap/>
            <w:vAlign w:val="center"/>
          </w:tcPr>
          <w:p>
            <w:pPr>
              <w:autoSpaceDE w:val="0"/>
              <w:autoSpaceDN w:val="0"/>
              <w:adjustRightInd w:val="0"/>
              <w:spacing w:line="400" w:lineRule="exact"/>
              <w:jc w:val="center"/>
              <w:rPr>
                <w:kern w:val="0"/>
                <w:sz w:val="24"/>
              </w:rPr>
            </w:pPr>
          </w:p>
        </w:tc>
        <w:tc>
          <w:tcPr>
            <w:tcW w:w="1368" w:type="dxa"/>
            <w:noWrap/>
            <w:vAlign w:val="center"/>
          </w:tcPr>
          <w:p>
            <w:pPr>
              <w:autoSpaceDE w:val="0"/>
              <w:autoSpaceDN w:val="0"/>
              <w:adjustRightInd w:val="0"/>
              <w:spacing w:line="400" w:lineRule="exact"/>
              <w:jc w:val="center"/>
              <w:rPr>
                <w:kern w:val="0"/>
                <w:sz w:val="24"/>
              </w:rPr>
            </w:pPr>
            <w:r>
              <w:rPr>
                <w:kern w:val="0"/>
                <w:sz w:val="24"/>
              </w:rPr>
              <w:t>邮政编码</w:t>
            </w:r>
          </w:p>
        </w:tc>
        <w:tc>
          <w:tcPr>
            <w:tcW w:w="2328" w:type="dxa"/>
            <w:gridSpan w:val="3"/>
            <w:noWrap/>
            <w:vAlign w:val="center"/>
          </w:tcPr>
          <w:p>
            <w:pPr>
              <w:autoSpaceDE w:val="0"/>
              <w:autoSpaceDN w:val="0"/>
              <w:adjustRightInd w:val="0"/>
              <w:spacing w:line="4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vMerge w:val="restart"/>
            <w:noWrap/>
            <w:vAlign w:val="center"/>
          </w:tcPr>
          <w:p>
            <w:pPr>
              <w:autoSpaceDE w:val="0"/>
              <w:autoSpaceDN w:val="0"/>
              <w:adjustRightInd w:val="0"/>
              <w:spacing w:line="400" w:lineRule="exact"/>
              <w:jc w:val="center"/>
              <w:rPr>
                <w:kern w:val="0"/>
                <w:sz w:val="24"/>
              </w:rPr>
            </w:pPr>
            <w:r>
              <w:rPr>
                <w:kern w:val="0"/>
                <w:sz w:val="24"/>
              </w:rPr>
              <w:t>联系方式</w:t>
            </w:r>
          </w:p>
        </w:tc>
        <w:tc>
          <w:tcPr>
            <w:tcW w:w="1004" w:type="dxa"/>
            <w:noWrap/>
            <w:vAlign w:val="center"/>
          </w:tcPr>
          <w:p>
            <w:pPr>
              <w:autoSpaceDE w:val="0"/>
              <w:autoSpaceDN w:val="0"/>
              <w:adjustRightInd w:val="0"/>
              <w:spacing w:line="400" w:lineRule="exact"/>
              <w:jc w:val="center"/>
              <w:rPr>
                <w:kern w:val="0"/>
                <w:sz w:val="24"/>
              </w:rPr>
            </w:pPr>
            <w:r>
              <w:rPr>
                <w:kern w:val="0"/>
                <w:sz w:val="24"/>
              </w:rPr>
              <w:t>联系人</w:t>
            </w:r>
          </w:p>
        </w:tc>
        <w:tc>
          <w:tcPr>
            <w:tcW w:w="2541" w:type="dxa"/>
            <w:gridSpan w:val="2"/>
            <w:noWrap/>
            <w:vAlign w:val="center"/>
          </w:tcPr>
          <w:p>
            <w:pPr>
              <w:autoSpaceDE w:val="0"/>
              <w:autoSpaceDN w:val="0"/>
              <w:adjustRightInd w:val="0"/>
              <w:spacing w:line="400" w:lineRule="exact"/>
              <w:jc w:val="center"/>
              <w:rPr>
                <w:kern w:val="0"/>
                <w:sz w:val="24"/>
              </w:rPr>
            </w:pPr>
          </w:p>
        </w:tc>
        <w:tc>
          <w:tcPr>
            <w:tcW w:w="1375" w:type="dxa"/>
            <w:gridSpan w:val="2"/>
            <w:noWrap/>
            <w:vAlign w:val="center"/>
          </w:tcPr>
          <w:p>
            <w:pPr>
              <w:autoSpaceDE w:val="0"/>
              <w:autoSpaceDN w:val="0"/>
              <w:adjustRightInd w:val="0"/>
              <w:spacing w:line="400" w:lineRule="exact"/>
              <w:jc w:val="center"/>
              <w:rPr>
                <w:kern w:val="0"/>
                <w:sz w:val="24"/>
              </w:rPr>
            </w:pPr>
            <w:r>
              <w:rPr>
                <w:kern w:val="0"/>
                <w:sz w:val="24"/>
              </w:rPr>
              <w:t>电话</w:t>
            </w:r>
          </w:p>
        </w:tc>
        <w:tc>
          <w:tcPr>
            <w:tcW w:w="2328" w:type="dxa"/>
            <w:gridSpan w:val="3"/>
            <w:noWrap/>
            <w:vAlign w:val="center"/>
          </w:tcPr>
          <w:p>
            <w:pPr>
              <w:autoSpaceDE w:val="0"/>
              <w:autoSpaceDN w:val="0"/>
              <w:adjustRightInd w:val="0"/>
              <w:spacing w:line="4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52" w:type="dxa"/>
            <w:vMerge w:val="continue"/>
            <w:noWrap/>
            <w:vAlign w:val="center"/>
          </w:tcPr>
          <w:p>
            <w:pPr>
              <w:autoSpaceDE w:val="0"/>
              <w:autoSpaceDN w:val="0"/>
              <w:adjustRightInd w:val="0"/>
              <w:spacing w:line="400" w:lineRule="exact"/>
              <w:jc w:val="center"/>
              <w:rPr>
                <w:kern w:val="0"/>
                <w:sz w:val="24"/>
              </w:rPr>
            </w:pPr>
          </w:p>
        </w:tc>
        <w:tc>
          <w:tcPr>
            <w:tcW w:w="1004" w:type="dxa"/>
            <w:noWrap/>
            <w:vAlign w:val="center"/>
          </w:tcPr>
          <w:p>
            <w:pPr>
              <w:autoSpaceDE w:val="0"/>
              <w:autoSpaceDN w:val="0"/>
              <w:adjustRightInd w:val="0"/>
              <w:spacing w:line="400" w:lineRule="exact"/>
              <w:jc w:val="center"/>
              <w:rPr>
                <w:kern w:val="0"/>
                <w:sz w:val="24"/>
              </w:rPr>
            </w:pPr>
            <w:r>
              <w:rPr>
                <w:kern w:val="0"/>
                <w:sz w:val="24"/>
              </w:rPr>
              <w:t>传真</w:t>
            </w:r>
          </w:p>
        </w:tc>
        <w:tc>
          <w:tcPr>
            <w:tcW w:w="2541" w:type="dxa"/>
            <w:gridSpan w:val="2"/>
            <w:noWrap/>
            <w:vAlign w:val="center"/>
          </w:tcPr>
          <w:p>
            <w:pPr>
              <w:autoSpaceDE w:val="0"/>
              <w:autoSpaceDN w:val="0"/>
              <w:adjustRightInd w:val="0"/>
              <w:spacing w:line="400" w:lineRule="exact"/>
              <w:jc w:val="center"/>
              <w:rPr>
                <w:kern w:val="0"/>
                <w:sz w:val="24"/>
              </w:rPr>
            </w:pPr>
          </w:p>
        </w:tc>
        <w:tc>
          <w:tcPr>
            <w:tcW w:w="1375" w:type="dxa"/>
            <w:gridSpan w:val="2"/>
            <w:noWrap/>
            <w:vAlign w:val="center"/>
          </w:tcPr>
          <w:p>
            <w:pPr>
              <w:autoSpaceDE w:val="0"/>
              <w:autoSpaceDN w:val="0"/>
              <w:adjustRightInd w:val="0"/>
              <w:spacing w:line="400" w:lineRule="exact"/>
              <w:jc w:val="center"/>
              <w:rPr>
                <w:kern w:val="0"/>
                <w:sz w:val="24"/>
              </w:rPr>
            </w:pPr>
            <w:r>
              <w:rPr>
                <w:kern w:val="0"/>
                <w:sz w:val="24"/>
              </w:rPr>
              <w:t>网址</w:t>
            </w:r>
          </w:p>
        </w:tc>
        <w:tc>
          <w:tcPr>
            <w:tcW w:w="2328" w:type="dxa"/>
            <w:gridSpan w:val="3"/>
            <w:noWrap/>
            <w:vAlign w:val="center"/>
          </w:tcPr>
          <w:p>
            <w:pPr>
              <w:autoSpaceDE w:val="0"/>
              <w:autoSpaceDN w:val="0"/>
              <w:adjustRightInd w:val="0"/>
              <w:spacing w:line="4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组织结构</w:t>
            </w:r>
          </w:p>
        </w:tc>
        <w:tc>
          <w:tcPr>
            <w:tcW w:w="7248" w:type="dxa"/>
            <w:gridSpan w:val="8"/>
            <w:noWrap/>
            <w:vAlign w:val="center"/>
          </w:tcPr>
          <w:p>
            <w:pPr>
              <w:autoSpaceDE w:val="0"/>
              <w:autoSpaceDN w:val="0"/>
              <w:adjustRightInd w:val="0"/>
              <w:spacing w:line="400" w:lineRule="exact"/>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52" w:type="dxa"/>
            <w:noWrap/>
            <w:vAlign w:val="center"/>
          </w:tcPr>
          <w:p>
            <w:pPr>
              <w:autoSpaceDE w:val="0"/>
              <w:autoSpaceDN w:val="0"/>
              <w:adjustRightInd w:val="0"/>
              <w:spacing w:line="400" w:lineRule="exact"/>
              <w:jc w:val="center"/>
              <w:rPr>
                <w:kern w:val="0"/>
                <w:sz w:val="24"/>
              </w:rPr>
            </w:pPr>
            <w:r>
              <w:rPr>
                <w:kern w:val="0"/>
                <w:sz w:val="24"/>
              </w:rPr>
              <w:t>法定代表人</w:t>
            </w:r>
          </w:p>
        </w:tc>
        <w:tc>
          <w:tcPr>
            <w:tcW w:w="1004" w:type="dxa"/>
            <w:noWrap/>
            <w:vAlign w:val="center"/>
          </w:tcPr>
          <w:p>
            <w:pPr>
              <w:autoSpaceDE w:val="0"/>
              <w:autoSpaceDN w:val="0"/>
              <w:adjustRightInd w:val="0"/>
              <w:spacing w:line="400" w:lineRule="exact"/>
              <w:jc w:val="center"/>
              <w:rPr>
                <w:kern w:val="0"/>
                <w:sz w:val="24"/>
              </w:rPr>
            </w:pPr>
            <w:r>
              <w:rPr>
                <w:kern w:val="0"/>
                <w:sz w:val="24"/>
              </w:rPr>
              <w:t>姓名</w:t>
            </w:r>
          </w:p>
        </w:tc>
        <w:tc>
          <w:tcPr>
            <w:tcW w:w="1245" w:type="dxa"/>
            <w:noWrap/>
            <w:vAlign w:val="center"/>
          </w:tcPr>
          <w:p>
            <w:pPr>
              <w:autoSpaceDE w:val="0"/>
              <w:autoSpaceDN w:val="0"/>
              <w:adjustRightInd w:val="0"/>
              <w:spacing w:line="400" w:lineRule="exact"/>
              <w:jc w:val="center"/>
              <w:rPr>
                <w:kern w:val="0"/>
                <w:sz w:val="24"/>
              </w:rPr>
            </w:pPr>
          </w:p>
        </w:tc>
        <w:tc>
          <w:tcPr>
            <w:tcW w:w="1296" w:type="dxa"/>
            <w:noWrap/>
            <w:vAlign w:val="center"/>
          </w:tcPr>
          <w:p>
            <w:pPr>
              <w:autoSpaceDE w:val="0"/>
              <w:autoSpaceDN w:val="0"/>
              <w:adjustRightInd w:val="0"/>
              <w:spacing w:line="400" w:lineRule="exact"/>
              <w:jc w:val="center"/>
              <w:rPr>
                <w:kern w:val="0"/>
                <w:sz w:val="24"/>
              </w:rPr>
            </w:pPr>
            <w:r>
              <w:rPr>
                <w:kern w:val="0"/>
                <w:sz w:val="24"/>
              </w:rPr>
              <w:t>技术职称</w:t>
            </w:r>
          </w:p>
        </w:tc>
        <w:tc>
          <w:tcPr>
            <w:tcW w:w="1375" w:type="dxa"/>
            <w:gridSpan w:val="2"/>
            <w:noWrap/>
            <w:vAlign w:val="center"/>
          </w:tcPr>
          <w:p>
            <w:pPr>
              <w:autoSpaceDE w:val="0"/>
              <w:autoSpaceDN w:val="0"/>
              <w:adjustRightInd w:val="0"/>
              <w:spacing w:line="400" w:lineRule="exact"/>
              <w:jc w:val="center"/>
              <w:rPr>
                <w:kern w:val="0"/>
                <w:sz w:val="24"/>
              </w:rPr>
            </w:pPr>
          </w:p>
        </w:tc>
        <w:tc>
          <w:tcPr>
            <w:tcW w:w="1217" w:type="dxa"/>
            <w:gridSpan w:val="2"/>
            <w:noWrap/>
            <w:vAlign w:val="center"/>
          </w:tcPr>
          <w:p>
            <w:pPr>
              <w:autoSpaceDE w:val="0"/>
              <w:autoSpaceDN w:val="0"/>
              <w:adjustRightInd w:val="0"/>
              <w:spacing w:line="400" w:lineRule="exact"/>
              <w:jc w:val="center"/>
              <w:rPr>
                <w:kern w:val="0"/>
                <w:sz w:val="24"/>
              </w:rPr>
            </w:pPr>
            <w:r>
              <w:rPr>
                <w:kern w:val="0"/>
                <w:sz w:val="24"/>
              </w:rPr>
              <w:t>电话</w:t>
            </w:r>
          </w:p>
        </w:tc>
        <w:tc>
          <w:tcPr>
            <w:tcW w:w="1111" w:type="dxa"/>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52" w:type="dxa"/>
            <w:noWrap/>
            <w:vAlign w:val="center"/>
          </w:tcPr>
          <w:p>
            <w:pPr>
              <w:autoSpaceDE w:val="0"/>
              <w:autoSpaceDN w:val="0"/>
              <w:adjustRightInd w:val="0"/>
              <w:spacing w:line="400" w:lineRule="exact"/>
              <w:jc w:val="center"/>
              <w:rPr>
                <w:kern w:val="0"/>
                <w:sz w:val="24"/>
              </w:rPr>
            </w:pPr>
            <w:r>
              <w:rPr>
                <w:rFonts w:hint="eastAsia"/>
                <w:kern w:val="0"/>
                <w:sz w:val="24"/>
              </w:rPr>
              <w:t>法律事务部主任</w:t>
            </w:r>
          </w:p>
        </w:tc>
        <w:tc>
          <w:tcPr>
            <w:tcW w:w="1004" w:type="dxa"/>
            <w:noWrap/>
            <w:vAlign w:val="center"/>
          </w:tcPr>
          <w:p>
            <w:pPr>
              <w:autoSpaceDE w:val="0"/>
              <w:autoSpaceDN w:val="0"/>
              <w:adjustRightInd w:val="0"/>
              <w:spacing w:line="400" w:lineRule="exact"/>
              <w:jc w:val="center"/>
              <w:rPr>
                <w:kern w:val="0"/>
                <w:sz w:val="24"/>
              </w:rPr>
            </w:pPr>
            <w:r>
              <w:rPr>
                <w:kern w:val="0"/>
                <w:sz w:val="24"/>
              </w:rPr>
              <w:t>姓名</w:t>
            </w:r>
          </w:p>
        </w:tc>
        <w:tc>
          <w:tcPr>
            <w:tcW w:w="1245" w:type="dxa"/>
            <w:noWrap/>
            <w:vAlign w:val="center"/>
          </w:tcPr>
          <w:p>
            <w:pPr>
              <w:autoSpaceDE w:val="0"/>
              <w:autoSpaceDN w:val="0"/>
              <w:adjustRightInd w:val="0"/>
              <w:spacing w:line="400" w:lineRule="exact"/>
              <w:jc w:val="center"/>
              <w:rPr>
                <w:kern w:val="0"/>
                <w:sz w:val="24"/>
              </w:rPr>
            </w:pPr>
          </w:p>
        </w:tc>
        <w:tc>
          <w:tcPr>
            <w:tcW w:w="1296" w:type="dxa"/>
            <w:noWrap/>
            <w:vAlign w:val="center"/>
          </w:tcPr>
          <w:p>
            <w:pPr>
              <w:autoSpaceDE w:val="0"/>
              <w:autoSpaceDN w:val="0"/>
              <w:adjustRightInd w:val="0"/>
              <w:spacing w:line="400" w:lineRule="exact"/>
              <w:jc w:val="center"/>
              <w:rPr>
                <w:kern w:val="0"/>
                <w:sz w:val="24"/>
              </w:rPr>
            </w:pPr>
            <w:r>
              <w:rPr>
                <w:kern w:val="0"/>
                <w:sz w:val="24"/>
              </w:rPr>
              <w:t>技术职称</w:t>
            </w:r>
          </w:p>
        </w:tc>
        <w:tc>
          <w:tcPr>
            <w:tcW w:w="1375" w:type="dxa"/>
            <w:gridSpan w:val="2"/>
            <w:noWrap/>
            <w:vAlign w:val="center"/>
          </w:tcPr>
          <w:p>
            <w:pPr>
              <w:autoSpaceDE w:val="0"/>
              <w:autoSpaceDN w:val="0"/>
              <w:adjustRightInd w:val="0"/>
              <w:spacing w:line="400" w:lineRule="exact"/>
              <w:jc w:val="center"/>
              <w:rPr>
                <w:kern w:val="0"/>
                <w:sz w:val="24"/>
              </w:rPr>
            </w:pPr>
          </w:p>
        </w:tc>
        <w:tc>
          <w:tcPr>
            <w:tcW w:w="1217" w:type="dxa"/>
            <w:gridSpan w:val="2"/>
            <w:noWrap/>
            <w:vAlign w:val="center"/>
          </w:tcPr>
          <w:p>
            <w:pPr>
              <w:autoSpaceDE w:val="0"/>
              <w:autoSpaceDN w:val="0"/>
              <w:adjustRightInd w:val="0"/>
              <w:spacing w:line="400" w:lineRule="exact"/>
              <w:jc w:val="center"/>
              <w:rPr>
                <w:kern w:val="0"/>
                <w:sz w:val="24"/>
              </w:rPr>
            </w:pPr>
            <w:r>
              <w:rPr>
                <w:kern w:val="0"/>
                <w:sz w:val="24"/>
              </w:rPr>
              <w:t>电话</w:t>
            </w:r>
          </w:p>
        </w:tc>
        <w:tc>
          <w:tcPr>
            <w:tcW w:w="1111" w:type="dxa"/>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成立时间</w:t>
            </w:r>
          </w:p>
        </w:tc>
        <w:tc>
          <w:tcPr>
            <w:tcW w:w="2249" w:type="dxa"/>
            <w:gridSpan w:val="2"/>
            <w:noWrap/>
            <w:vAlign w:val="center"/>
          </w:tcPr>
          <w:p>
            <w:pPr>
              <w:autoSpaceDE w:val="0"/>
              <w:autoSpaceDN w:val="0"/>
              <w:adjustRightInd w:val="0"/>
              <w:spacing w:line="400" w:lineRule="exact"/>
              <w:jc w:val="center"/>
              <w:rPr>
                <w:kern w:val="0"/>
                <w:sz w:val="24"/>
              </w:rPr>
            </w:pPr>
          </w:p>
        </w:tc>
        <w:tc>
          <w:tcPr>
            <w:tcW w:w="4999" w:type="dxa"/>
            <w:gridSpan w:val="6"/>
            <w:noWrap/>
            <w:vAlign w:val="center"/>
          </w:tcPr>
          <w:p>
            <w:pPr>
              <w:autoSpaceDE w:val="0"/>
              <w:autoSpaceDN w:val="0"/>
              <w:adjustRightInd w:val="0"/>
              <w:spacing w:line="400" w:lineRule="exact"/>
              <w:ind w:firstLine="1680" w:firstLineChars="700"/>
              <w:rPr>
                <w:kern w:val="0"/>
                <w:sz w:val="24"/>
              </w:rPr>
            </w:pPr>
            <w:r>
              <w:rPr>
                <w:kern w:val="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52" w:type="dxa"/>
            <w:noWrap/>
            <w:vAlign w:val="center"/>
          </w:tcPr>
          <w:p>
            <w:pPr>
              <w:autoSpaceDE w:val="0"/>
              <w:autoSpaceDN w:val="0"/>
              <w:adjustRightInd w:val="0"/>
              <w:spacing w:line="400" w:lineRule="exact"/>
              <w:jc w:val="center"/>
              <w:rPr>
                <w:kern w:val="0"/>
                <w:sz w:val="24"/>
              </w:rPr>
            </w:pPr>
            <w:r>
              <w:rPr>
                <w:rFonts w:hint="eastAsia"/>
                <w:kern w:val="0"/>
                <w:sz w:val="24"/>
              </w:rPr>
              <w:t>律所资质</w:t>
            </w:r>
          </w:p>
        </w:tc>
        <w:tc>
          <w:tcPr>
            <w:tcW w:w="2249" w:type="dxa"/>
            <w:gridSpan w:val="2"/>
            <w:noWrap/>
            <w:vAlign w:val="center"/>
          </w:tcPr>
          <w:p>
            <w:pPr>
              <w:autoSpaceDE w:val="0"/>
              <w:autoSpaceDN w:val="0"/>
              <w:adjustRightInd w:val="0"/>
              <w:spacing w:line="400" w:lineRule="exact"/>
              <w:jc w:val="center"/>
              <w:rPr>
                <w:kern w:val="0"/>
                <w:sz w:val="24"/>
              </w:rPr>
            </w:pPr>
          </w:p>
        </w:tc>
        <w:tc>
          <w:tcPr>
            <w:tcW w:w="1296" w:type="dxa"/>
            <w:vMerge w:val="restart"/>
            <w:noWrap/>
            <w:vAlign w:val="center"/>
          </w:tcPr>
          <w:p>
            <w:pPr>
              <w:autoSpaceDE w:val="0"/>
              <w:autoSpaceDN w:val="0"/>
              <w:adjustRightInd w:val="0"/>
              <w:spacing w:line="400" w:lineRule="exact"/>
              <w:jc w:val="center"/>
              <w:rPr>
                <w:kern w:val="0"/>
                <w:sz w:val="24"/>
              </w:rPr>
            </w:pPr>
            <w:r>
              <w:rPr>
                <w:kern w:val="0"/>
                <w:sz w:val="24"/>
              </w:rPr>
              <w:t>其中</w:t>
            </w:r>
          </w:p>
        </w:tc>
        <w:tc>
          <w:tcPr>
            <w:tcW w:w="1542" w:type="dxa"/>
            <w:gridSpan w:val="3"/>
            <w:noWrap/>
            <w:vAlign w:val="center"/>
          </w:tcPr>
          <w:p>
            <w:pPr>
              <w:autoSpaceDE w:val="0"/>
              <w:autoSpaceDN w:val="0"/>
              <w:adjustRightInd w:val="0"/>
              <w:spacing w:line="400" w:lineRule="exact"/>
              <w:jc w:val="center"/>
              <w:rPr>
                <w:kern w:val="0"/>
                <w:sz w:val="24"/>
              </w:rPr>
            </w:pPr>
            <w:r>
              <w:rPr>
                <w:rFonts w:hint="eastAsia"/>
                <w:kern w:val="0"/>
                <w:sz w:val="24"/>
              </w:rPr>
              <w:t>团队主任</w:t>
            </w:r>
          </w:p>
        </w:tc>
        <w:tc>
          <w:tcPr>
            <w:tcW w:w="2161" w:type="dxa"/>
            <w:gridSpan w:val="2"/>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营业执照号</w:t>
            </w:r>
          </w:p>
        </w:tc>
        <w:tc>
          <w:tcPr>
            <w:tcW w:w="2249" w:type="dxa"/>
            <w:gridSpan w:val="2"/>
            <w:noWrap/>
            <w:vAlign w:val="center"/>
          </w:tcPr>
          <w:p>
            <w:pPr>
              <w:autoSpaceDE w:val="0"/>
              <w:autoSpaceDN w:val="0"/>
              <w:adjustRightInd w:val="0"/>
              <w:spacing w:line="400" w:lineRule="exact"/>
              <w:jc w:val="center"/>
              <w:rPr>
                <w:kern w:val="0"/>
                <w:sz w:val="24"/>
              </w:rPr>
            </w:pPr>
          </w:p>
        </w:tc>
        <w:tc>
          <w:tcPr>
            <w:tcW w:w="1296" w:type="dxa"/>
            <w:vMerge w:val="continue"/>
            <w:noWrap/>
            <w:vAlign w:val="center"/>
          </w:tcPr>
          <w:p>
            <w:pPr>
              <w:autoSpaceDE w:val="0"/>
              <w:autoSpaceDN w:val="0"/>
              <w:adjustRightInd w:val="0"/>
              <w:spacing w:line="400" w:lineRule="exact"/>
              <w:jc w:val="center"/>
              <w:rPr>
                <w:kern w:val="0"/>
                <w:sz w:val="24"/>
              </w:rPr>
            </w:pPr>
          </w:p>
        </w:tc>
        <w:tc>
          <w:tcPr>
            <w:tcW w:w="1542" w:type="dxa"/>
            <w:gridSpan w:val="3"/>
            <w:noWrap/>
            <w:vAlign w:val="center"/>
          </w:tcPr>
          <w:p>
            <w:pPr>
              <w:autoSpaceDE w:val="0"/>
              <w:autoSpaceDN w:val="0"/>
              <w:adjustRightInd w:val="0"/>
              <w:spacing w:line="400" w:lineRule="exact"/>
              <w:jc w:val="center"/>
              <w:rPr>
                <w:kern w:val="0"/>
                <w:sz w:val="24"/>
              </w:rPr>
            </w:pPr>
            <w:r>
              <w:rPr>
                <w:rFonts w:hint="eastAsia"/>
                <w:kern w:val="0"/>
                <w:sz w:val="24"/>
              </w:rPr>
              <w:t>主办律师</w:t>
            </w:r>
          </w:p>
        </w:tc>
        <w:tc>
          <w:tcPr>
            <w:tcW w:w="2161" w:type="dxa"/>
            <w:gridSpan w:val="2"/>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注册资金</w:t>
            </w:r>
          </w:p>
        </w:tc>
        <w:tc>
          <w:tcPr>
            <w:tcW w:w="2249" w:type="dxa"/>
            <w:gridSpan w:val="2"/>
            <w:noWrap/>
            <w:vAlign w:val="center"/>
          </w:tcPr>
          <w:p>
            <w:pPr>
              <w:autoSpaceDE w:val="0"/>
              <w:autoSpaceDN w:val="0"/>
              <w:adjustRightInd w:val="0"/>
              <w:spacing w:line="400" w:lineRule="exact"/>
              <w:jc w:val="center"/>
              <w:rPr>
                <w:kern w:val="0"/>
                <w:sz w:val="24"/>
              </w:rPr>
            </w:pPr>
          </w:p>
        </w:tc>
        <w:tc>
          <w:tcPr>
            <w:tcW w:w="1296" w:type="dxa"/>
            <w:vMerge w:val="continue"/>
            <w:noWrap/>
            <w:vAlign w:val="center"/>
          </w:tcPr>
          <w:p>
            <w:pPr>
              <w:autoSpaceDE w:val="0"/>
              <w:autoSpaceDN w:val="0"/>
              <w:adjustRightInd w:val="0"/>
              <w:spacing w:line="400" w:lineRule="exact"/>
              <w:jc w:val="center"/>
              <w:rPr>
                <w:kern w:val="0"/>
                <w:sz w:val="24"/>
              </w:rPr>
            </w:pPr>
          </w:p>
        </w:tc>
        <w:tc>
          <w:tcPr>
            <w:tcW w:w="1542" w:type="dxa"/>
            <w:gridSpan w:val="3"/>
            <w:noWrap/>
            <w:vAlign w:val="center"/>
          </w:tcPr>
          <w:p>
            <w:pPr>
              <w:autoSpaceDE w:val="0"/>
              <w:autoSpaceDN w:val="0"/>
              <w:adjustRightInd w:val="0"/>
              <w:spacing w:line="400" w:lineRule="exact"/>
              <w:jc w:val="center"/>
              <w:rPr>
                <w:kern w:val="0"/>
                <w:sz w:val="24"/>
              </w:rPr>
            </w:pPr>
            <w:r>
              <w:rPr>
                <w:rFonts w:hint="eastAsia"/>
                <w:kern w:val="0"/>
                <w:sz w:val="24"/>
              </w:rPr>
              <w:t>主办律师</w:t>
            </w:r>
          </w:p>
        </w:tc>
        <w:tc>
          <w:tcPr>
            <w:tcW w:w="2161" w:type="dxa"/>
            <w:gridSpan w:val="2"/>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52" w:type="dxa"/>
            <w:noWrap/>
            <w:vAlign w:val="center"/>
          </w:tcPr>
          <w:p>
            <w:pPr>
              <w:autoSpaceDE w:val="0"/>
              <w:autoSpaceDN w:val="0"/>
              <w:adjustRightInd w:val="0"/>
              <w:spacing w:line="400" w:lineRule="exact"/>
              <w:jc w:val="center"/>
              <w:rPr>
                <w:kern w:val="0"/>
                <w:sz w:val="24"/>
              </w:rPr>
            </w:pPr>
            <w:r>
              <w:rPr>
                <w:kern w:val="0"/>
                <w:sz w:val="24"/>
              </w:rPr>
              <w:t>开户银行</w:t>
            </w:r>
          </w:p>
        </w:tc>
        <w:tc>
          <w:tcPr>
            <w:tcW w:w="2249" w:type="dxa"/>
            <w:gridSpan w:val="2"/>
            <w:noWrap/>
            <w:vAlign w:val="center"/>
          </w:tcPr>
          <w:p>
            <w:pPr>
              <w:autoSpaceDE w:val="0"/>
              <w:autoSpaceDN w:val="0"/>
              <w:adjustRightInd w:val="0"/>
              <w:spacing w:line="400" w:lineRule="exact"/>
              <w:jc w:val="center"/>
              <w:rPr>
                <w:kern w:val="0"/>
                <w:sz w:val="24"/>
              </w:rPr>
            </w:pPr>
          </w:p>
        </w:tc>
        <w:tc>
          <w:tcPr>
            <w:tcW w:w="1296" w:type="dxa"/>
            <w:vMerge w:val="continue"/>
            <w:noWrap/>
            <w:vAlign w:val="center"/>
          </w:tcPr>
          <w:p>
            <w:pPr>
              <w:autoSpaceDE w:val="0"/>
              <w:autoSpaceDN w:val="0"/>
              <w:adjustRightInd w:val="0"/>
              <w:spacing w:line="400" w:lineRule="exact"/>
              <w:jc w:val="center"/>
              <w:rPr>
                <w:kern w:val="0"/>
                <w:sz w:val="24"/>
              </w:rPr>
            </w:pPr>
          </w:p>
        </w:tc>
        <w:tc>
          <w:tcPr>
            <w:tcW w:w="1542" w:type="dxa"/>
            <w:gridSpan w:val="3"/>
            <w:noWrap/>
            <w:vAlign w:val="center"/>
          </w:tcPr>
          <w:p>
            <w:pPr>
              <w:autoSpaceDE w:val="0"/>
              <w:autoSpaceDN w:val="0"/>
              <w:adjustRightInd w:val="0"/>
              <w:spacing w:line="400" w:lineRule="exact"/>
              <w:jc w:val="center"/>
              <w:rPr>
                <w:kern w:val="0"/>
                <w:sz w:val="24"/>
              </w:rPr>
            </w:pPr>
            <w:r>
              <w:rPr>
                <w:rFonts w:hint="eastAsia"/>
                <w:kern w:val="0"/>
                <w:sz w:val="24"/>
              </w:rPr>
              <w:t>主办律师</w:t>
            </w:r>
          </w:p>
        </w:tc>
        <w:tc>
          <w:tcPr>
            <w:tcW w:w="2161" w:type="dxa"/>
            <w:gridSpan w:val="2"/>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账号</w:t>
            </w:r>
          </w:p>
        </w:tc>
        <w:tc>
          <w:tcPr>
            <w:tcW w:w="2249" w:type="dxa"/>
            <w:gridSpan w:val="2"/>
            <w:noWrap/>
            <w:vAlign w:val="center"/>
          </w:tcPr>
          <w:p>
            <w:pPr>
              <w:autoSpaceDE w:val="0"/>
              <w:autoSpaceDN w:val="0"/>
              <w:adjustRightInd w:val="0"/>
              <w:spacing w:line="400" w:lineRule="exact"/>
              <w:jc w:val="center"/>
              <w:rPr>
                <w:kern w:val="0"/>
                <w:sz w:val="24"/>
              </w:rPr>
            </w:pPr>
          </w:p>
        </w:tc>
        <w:tc>
          <w:tcPr>
            <w:tcW w:w="1296" w:type="dxa"/>
            <w:vMerge w:val="continue"/>
            <w:noWrap/>
            <w:vAlign w:val="center"/>
          </w:tcPr>
          <w:p>
            <w:pPr>
              <w:autoSpaceDE w:val="0"/>
              <w:autoSpaceDN w:val="0"/>
              <w:adjustRightInd w:val="0"/>
              <w:spacing w:line="400" w:lineRule="exact"/>
              <w:jc w:val="center"/>
              <w:rPr>
                <w:kern w:val="0"/>
                <w:sz w:val="24"/>
              </w:rPr>
            </w:pPr>
          </w:p>
        </w:tc>
        <w:tc>
          <w:tcPr>
            <w:tcW w:w="1542" w:type="dxa"/>
            <w:gridSpan w:val="3"/>
            <w:noWrap/>
            <w:vAlign w:val="center"/>
          </w:tcPr>
          <w:p>
            <w:pPr>
              <w:autoSpaceDE w:val="0"/>
              <w:autoSpaceDN w:val="0"/>
              <w:adjustRightInd w:val="0"/>
              <w:spacing w:line="400" w:lineRule="exact"/>
              <w:jc w:val="center"/>
              <w:rPr>
                <w:kern w:val="0"/>
                <w:sz w:val="24"/>
              </w:rPr>
            </w:pPr>
            <w:r>
              <w:rPr>
                <w:rFonts w:hint="eastAsia"/>
                <w:kern w:val="0"/>
                <w:sz w:val="24"/>
              </w:rPr>
              <w:t>助理律师</w:t>
            </w:r>
          </w:p>
        </w:tc>
        <w:tc>
          <w:tcPr>
            <w:tcW w:w="2161" w:type="dxa"/>
            <w:gridSpan w:val="2"/>
            <w:noWrap/>
            <w:vAlign w:val="center"/>
          </w:tcPr>
          <w:p>
            <w:pPr>
              <w:autoSpaceDE w:val="0"/>
              <w:autoSpaceDN w:val="0"/>
              <w:adjustRightInd w:val="0"/>
              <w:spacing w:line="400" w:lineRule="exact"/>
              <w:jc w:val="center"/>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52" w:type="dxa"/>
            <w:noWrap/>
            <w:vAlign w:val="center"/>
          </w:tcPr>
          <w:p>
            <w:pPr>
              <w:autoSpaceDE w:val="0"/>
              <w:autoSpaceDN w:val="0"/>
              <w:adjustRightInd w:val="0"/>
              <w:spacing w:line="400" w:lineRule="exact"/>
              <w:jc w:val="center"/>
              <w:rPr>
                <w:kern w:val="0"/>
                <w:sz w:val="24"/>
              </w:rPr>
            </w:pPr>
            <w:r>
              <w:rPr>
                <w:kern w:val="0"/>
                <w:sz w:val="24"/>
              </w:rPr>
              <w:t>经营范围</w:t>
            </w:r>
          </w:p>
        </w:tc>
        <w:tc>
          <w:tcPr>
            <w:tcW w:w="7248" w:type="dxa"/>
            <w:gridSpan w:val="8"/>
            <w:noWrap/>
            <w:vAlign w:val="center"/>
          </w:tcPr>
          <w:p>
            <w:pPr>
              <w:autoSpaceDE w:val="0"/>
              <w:autoSpaceDN w:val="0"/>
              <w:adjustRightInd w:val="0"/>
              <w:spacing w:line="400" w:lineRule="exact"/>
              <w:rPr>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52" w:type="dxa"/>
            <w:noWrap/>
          </w:tcPr>
          <w:p>
            <w:pPr>
              <w:autoSpaceDE w:val="0"/>
              <w:autoSpaceDN w:val="0"/>
              <w:adjustRightInd w:val="0"/>
              <w:spacing w:line="400" w:lineRule="exact"/>
              <w:jc w:val="center"/>
              <w:rPr>
                <w:kern w:val="0"/>
                <w:sz w:val="24"/>
              </w:rPr>
            </w:pPr>
            <w:r>
              <w:rPr>
                <w:kern w:val="0"/>
                <w:sz w:val="24"/>
              </w:rPr>
              <w:t>备注</w:t>
            </w:r>
          </w:p>
        </w:tc>
        <w:tc>
          <w:tcPr>
            <w:tcW w:w="7248" w:type="dxa"/>
            <w:gridSpan w:val="8"/>
            <w:noWrap/>
          </w:tcPr>
          <w:p>
            <w:pPr>
              <w:autoSpaceDE w:val="0"/>
              <w:autoSpaceDN w:val="0"/>
              <w:adjustRightInd w:val="0"/>
              <w:spacing w:line="400" w:lineRule="exact"/>
              <w:jc w:val="left"/>
              <w:rPr>
                <w:kern w:val="0"/>
                <w:sz w:val="24"/>
              </w:rPr>
            </w:pPr>
          </w:p>
        </w:tc>
      </w:tr>
    </w:tbl>
    <w:p>
      <w:pPr>
        <w:adjustRightInd w:val="0"/>
        <w:spacing w:line="400" w:lineRule="exact"/>
        <w:ind w:firstLine="420" w:firstLineChars="175"/>
        <w:jc w:val="left"/>
        <w:rPr>
          <w:bCs/>
          <w:sz w:val="24"/>
        </w:rPr>
      </w:pPr>
    </w:p>
    <w:p>
      <w:pPr>
        <w:adjustRightInd w:val="0"/>
        <w:spacing w:line="400" w:lineRule="exact"/>
        <w:ind w:firstLine="420" w:firstLineChars="175"/>
        <w:jc w:val="left"/>
        <w:rPr>
          <w:bCs/>
          <w:sz w:val="24"/>
        </w:rPr>
      </w:pPr>
      <w:r>
        <w:rPr>
          <w:rFonts w:hint="eastAsia"/>
          <w:bCs/>
          <w:sz w:val="24"/>
        </w:rPr>
        <w:t>比选申请</w:t>
      </w:r>
      <w:r>
        <w:rPr>
          <w:bCs/>
          <w:sz w:val="24"/>
        </w:rPr>
        <w:t>人名称：        （盖章）</w:t>
      </w:r>
    </w:p>
    <w:p>
      <w:pPr>
        <w:adjustRightInd w:val="0"/>
        <w:spacing w:line="400" w:lineRule="exact"/>
        <w:ind w:firstLine="420" w:firstLineChars="175"/>
        <w:jc w:val="left"/>
        <w:rPr>
          <w:bCs/>
          <w:sz w:val="24"/>
        </w:rPr>
      </w:pPr>
      <w:r>
        <w:rPr>
          <w:sz w:val="24"/>
        </w:rPr>
        <w:t>法定代表人或授权代表（签字）</w:t>
      </w:r>
      <w:r>
        <w:rPr>
          <w:bCs/>
          <w:sz w:val="24"/>
        </w:rPr>
        <w:t>：</w:t>
      </w:r>
    </w:p>
    <w:p>
      <w:pPr>
        <w:adjustRightInd w:val="0"/>
        <w:spacing w:line="400" w:lineRule="exact"/>
        <w:ind w:firstLine="420" w:firstLineChars="175"/>
        <w:jc w:val="left"/>
        <w:rPr>
          <w:bCs/>
          <w:sz w:val="24"/>
        </w:rPr>
      </w:pPr>
      <w:r>
        <w:rPr>
          <w:bCs/>
          <w:sz w:val="24"/>
        </w:rPr>
        <w:t>日期</w:t>
      </w:r>
      <w:r>
        <w:rPr>
          <w:rFonts w:hint="eastAsia"/>
          <w:bCs/>
          <w:sz w:val="24"/>
        </w:rPr>
        <w:t>：</w:t>
      </w:r>
    </w:p>
    <w:p>
      <w:pPr>
        <w:pStyle w:val="4"/>
        <w:spacing w:line="400" w:lineRule="exact"/>
        <w:jc w:val="center"/>
        <w:rPr>
          <w:rFonts w:hint="eastAsia" w:ascii="Times New Roman" w:hAnsi="Times New Roman"/>
          <w:kern w:val="0"/>
          <w:sz w:val="28"/>
          <w:szCs w:val="28"/>
        </w:rPr>
      </w:pPr>
      <w:bookmarkStart w:id="198" w:name="_Toc19806"/>
      <w:bookmarkStart w:id="199" w:name="_Toc1284"/>
      <w:bookmarkStart w:id="200" w:name="_Toc4746"/>
      <w:bookmarkStart w:id="201" w:name="_Toc26965"/>
      <w:bookmarkStart w:id="202" w:name="_Toc414979544"/>
      <w:bookmarkStart w:id="203" w:name="_Toc217446089"/>
    </w:p>
    <w:p>
      <w:pPr>
        <w:rPr>
          <w:rFonts w:hint="eastAsia" w:ascii="Times New Roman" w:hAnsi="Times New Roman"/>
          <w:kern w:val="0"/>
          <w:sz w:val="28"/>
          <w:szCs w:val="28"/>
        </w:rPr>
      </w:pPr>
    </w:p>
    <w:p>
      <w:pPr>
        <w:pStyle w:val="2"/>
        <w:rPr>
          <w:rFonts w:hint="eastAsia"/>
        </w:rPr>
      </w:pPr>
    </w:p>
    <w:p>
      <w:pPr>
        <w:pStyle w:val="4"/>
        <w:spacing w:line="400" w:lineRule="exact"/>
        <w:jc w:val="center"/>
        <w:rPr>
          <w:rFonts w:hAnsi="宋体" w:cs="宋体"/>
          <w:sz w:val="24"/>
          <w:szCs w:val="24"/>
        </w:rPr>
      </w:pPr>
      <w:r>
        <w:rPr>
          <w:rFonts w:hint="eastAsia" w:ascii="Times New Roman" w:hAnsi="Times New Roman"/>
          <w:kern w:val="0"/>
          <w:sz w:val="28"/>
          <w:szCs w:val="28"/>
        </w:rPr>
        <w:t>五、</w:t>
      </w:r>
      <w:bookmarkEnd w:id="198"/>
      <w:bookmarkEnd w:id="199"/>
      <w:bookmarkEnd w:id="200"/>
      <w:r>
        <w:rPr>
          <w:rFonts w:hint="eastAsia" w:ascii="Times New Roman" w:hAnsi="Times New Roman"/>
          <w:sz w:val="28"/>
          <w:szCs w:val="28"/>
        </w:rPr>
        <w:t>服务应答表</w:t>
      </w:r>
      <w:bookmarkEnd w:id="201"/>
    </w:p>
    <w:p>
      <w:pPr>
        <w:rPr>
          <w:bCs/>
        </w:rPr>
      </w:pPr>
      <w:bookmarkStart w:id="204" w:name="_Toc19259"/>
      <w:bookmarkEnd w:id="204"/>
    </w:p>
    <w:tbl>
      <w:tblPr>
        <w:tblStyle w:val="14"/>
        <w:tblW w:w="11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723"/>
        <w:gridCol w:w="3379"/>
        <w:gridCol w:w="3842"/>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617" w:type="dxa"/>
            <w:noWrap/>
            <w:vAlign w:val="center"/>
          </w:tcPr>
          <w:p>
            <w:pPr>
              <w:pStyle w:val="6"/>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序号</w:t>
            </w:r>
          </w:p>
        </w:tc>
        <w:tc>
          <w:tcPr>
            <w:tcW w:w="1723" w:type="dxa"/>
            <w:noWrap/>
            <w:vAlign w:val="center"/>
          </w:tcPr>
          <w:p>
            <w:pPr>
              <w:pStyle w:val="6"/>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比选文件序号</w:t>
            </w:r>
          </w:p>
        </w:tc>
        <w:tc>
          <w:tcPr>
            <w:tcW w:w="3379" w:type="dxa"/>
            <w:noWrap/>
            <w:vAlign w:val="center"/>
          </w:tcPr>
          <w:p>
            <w:pPr>
              <w:pStyle w:val="6"/>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比选文件条款</w:t>
            </w:r>
          </w:p>
        </w:tc>
        <w:tc>
          <w:tcPr>
            <w:tcW w:w="3842" w:type="dxa"/>
            <w:noWrap/>
            <w:vAlign w:val="center"/>
          </w:tcPr>
          <w:p>
            <w:pPr>
              <w:pStyle w:val="6"/>
              <w:tabs>
                <w:tab w:val="left" w:pos="6880"/>
              </w:tabs>
              <w:spacing w:line="360" w:lineRule="auto"/>
              <w:ind w:firstLine="241" w:firstLineChars="100"/>
              <w:jc w:val="center"/>
              <w:rPr>
                <w:rFonts w:ascii="宋体" w:hAnsi="宋体" w:cs="宋体"/>
                <w:b/>
                <w:kern w:val="0"/>
                <w:sz w:val="24"/>
              </w:rPr>
            </w:pPr>
            <w:r>
              <w:rPr>
                <w:rFonts w:hint="eastAsia" w:ascii="宋体" w:hAnsi="宋体" w:cs="宋体"/>
                <w:b/>
                <w:kern w:val="0"/>
                <w:sz w:val="24"/>
              </w:rPr>
              <w:t>比选文件条款具体内容</w:t>
            </w:r>
          </w:p>
        </w:tc>
        <w:tc>
          <w:tcPr>
            <w:tcW w:w="1678" w:type="dxa"/>
            <w:noWrap/>
            <w:vAlign w:val="center"/>
          </w:tcPr>
          <w:p>
            <w:pPr>
              <w:pStyle w:val="6"/>
              <w:tabs>
                <w:tab w:val="left" w:pos="6880"/>
              </w:tabs>
              <w:spacing w:line="360" w:lineRule="auto"/>
              <w:ind w:firstLine="0" w:firstLineChars="0"/>
              <w:jc w:val="center"/>
              <w:rPr>
                <w:rFonts w:ascii="宋体" w:hAnsi="宋体" w:cs="宋体"/>
                <w:b/>
                <w:kern w:val="0"/>
                <w:sz w:val="24"/>
              </w:rPr>
            </w:pPr>
            <w:r>
              <w:rPr>
                <w:rFonts w:hint="eastAsia" w:ascii="宋体" w:hAnsi="宋体" w:cs="宋体"/>
                <w:b/>
                <w:kern w:val="0"/>
                <w:sz w:val="24"/>
              </w:rPr>
              <w:t>比选申请文件应答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1</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第五章第二条服务要求第一项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服务团队要求</w:t>
            </w:r>
          </w:p>
        </w:tc>
        <w:tc>
          <w:tcPr>
            <w:tcW w:w="3842"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中标比选申请人应推荐不少于2名专职律师专门负责攀枝花三线文化有限公司法律工作（执业年限超过10年的专职律师不低于1名）</w:t>
            </w:r>
          </w:p>
        </w:tc>
        <w:tc>
          <w:tcPr>
            <w:tcW w:w="1678" w:type="dxa"/>
            <w:noWrap/>
            <w:vAlign w:val="center"/>
          </w:tcPr>
          <w:p>
            <w:pPr>
              <w:pStyle w:val="6"/>
              <w:tabs>
                <w:tab w:val="left" w:pos="6880"/>
              </w:tabs>
              <w:spacing w:line="360" w:lineRule="auto"/>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2</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第五章第二条服务要求第二项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服务内容</w:t>
            </w:r>
          </w:p>
        </w:tc>
        <w:tc>
          <w:tcPr>
            <w:tcW w:w="3842"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1.日常法律事务  2.诉讼（复议）办理3.重大非诉讼专项服务</w:t>
            </w:r>
          </w:p>
        </w:tc>
        <w:tc>
          <w:tcPr>
            <w:tcW w:w="1678" w:type="dxa"/>
            <w:noWrap/>
            <w:vAlign w:val="center"/>
          </w:tcPr>
          <w:p>
            <w:pPr>
              <w:pStyle w:val="6"/>
              <w:tabs>
                <w:tab w:val="left" w:pos="6880"/>
              </w:tabs>
              <w:spacing w:line="360" w:lineRule="auto"/>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3</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第五章第二条服务要求第三项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服务响应时间</w:t>
            </w:r>
          </w:p>
        </w:tc>
        <w:tc>
          <w:tcPr>
            <w:tcW w:w="3842"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服务提供商应根据服务内容的难易、紧急程度和采购人的时限要求，在1天内完成响应处理；需要进行尽职调查，方能表达意见的除外。</w:t>
            </w:r>
          </w:p>
        </w:tc>
        <w:tc>
          <w:tcPr>
            <w:tcW w:w="1678" w:type="dxa"/>
            <w:noWrap/>
            <w:vAlign w:val="center"/>
          </w:tcPr>
          <w:p>
            <w:pPr>
              <w:pStyle w:val="6"/>
              <w:tabs>
                <w:tab w:val="left" w:pos="6880"/>
              </w:tabs>
              <w:spacing w:line="360" w:lineRule="auto"/>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4</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第五章第二条服务要求第四项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行政复议、诉讼、仲裁、执行案件收费</w:t>
            </w:r>
          </w:p>
        </w:tc>
        <w:tc>
          <w:tcPr>
            <w:tcW w:w="3842"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按照《四川省律师法律服务收费行业指导标准（试行）》第二条第（一）款规定的标准下浮10%-40%计取代理费用，具体下浮比例根据情况由双方协商确定，并另行签订《委托代理合同》。</w:t>
            </w:r>
          </w:p>
          <w:p>
            <w:pPr>
              <w:pStyle w:val="6"/>
              <w:tabs>
                <w:tab w:val="left" w:pos="6880"/>
              </w:tabs>
              <w:spacing w:line="240" w:lineRule="exact"/>
              <w:ind w:firstLine="480"/>
              <w:jc w:val="center"/>
              <w:rPr>
                <w:kern w:val="0"/>
                <w:sz w:val="24"/>
              </w:rPr>
            </w:pPr>
          </w:p>
        </w:tc>
        <w:tc>
          <w:tcPr>
            <w:tcW w:w="1678" w:type="dxa"/>
            <w:noWrap/>
            <w:vAlign w:val="center"/>
          </w:tcPr>
          <w:p>
            <w:pPr>
              <w:pStyle w:val="6"/>
              <w:tabs>
                <w:tab w:val="left" w:pos="6880"/>
              </w:tabs>
              <w:spacing w:line="360" w:lineRule="auto"/>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5</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第五章第二条服务要求第五项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履行合同</w:t>
            </w:r>
          </w:p>
        </w:tc>
        <w:tc>
          <w:tcPr>
            <w:tcW w:w="3842" w:type="dxa"/>
            <w:noWrap/>
            <w:vAlign w:val="center"/>
          </w:tcPr>
          <w:p>
            <w:pPr>
              <w:spacing w:line="240" w:lineRule="exact"/>
              <w:jc w:val="center"/>
              <w:rPr>
                <w:kern w:val="0"/>
                <w:sz w:val="24"/>
              </w:rPr>
            </w:pPr>
            <w:r>
              <w:rPr>
                <w:rFonts w:hint="eastAsia"/>
                <w:kern w:val="0"/>
                <w:sz w:val="24"/>
              </w:rPr>
              <w:t>中标人在获取本项目后不得对外分包。</w:t>
            </w:r>
          </w:p>
          <w:p>
            <w:pPr>
              <w:pStyle w:val="6"/>
              <w:tabs>
                <w:tab w:val="left" w:pos="6880"/>
              </w:tabs>
              <w:spacing w:line="240" w:lineRule="exact"/>
              <w:ind w:firstLine="0" w:firstLineChars="0"/>
              <w:jc w:val="center"/>
              <w:rPr>
                <w:kern w:val="0"/>
                <w:sz w:val="24"/>
              </w:rPr>
            </w:pPr>
          </w:p>
        </w:tc>
        <w:tc>
          <w:tcPr>
            <w:tcW w:w="1678" w:type="dxa"/>
            <w:noWrap/>
            <w:vAlign w:val="center"/>
          </w:tcPr>
          <w:p>
            <w:pPr>
              <w:pStyle w:val="6"/>
              <w:tabs>
                <w:tab w:val="left" w:pos="6880"/>
              </w:tabs>
              <w:spacing w:line="360" w:lineRule="auto"/>
              <w:ind w:firstLine="480"/>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17" w:type="dxa"/>
            <w:noWrap/>
            <w:vAlign w:val="center"/>
          </w:tcPr>
          <w:p>
            <w:pPr>
              <w:pStyle w:val="6"/>
              <w:tabs>
                <w:tab w:val="left" w:pos="34"/>
              </w:tabs>
              <w:spacing w:line="360" w:lineRule="auto"/>
              <w:ind w:left="-108" w:firstLine="0" w:firstLineChars="0"/>
              <w:jc w:val="center"/>
              <w:rPr>
                <w:kern w:val="0"/>
                <w:sz w:val="24"/>
              </w:rPr>
            </w:pPr>
            <w:r>
              <w:rPr>
                <w:rFonts w:hint="eastAsia"/>
                <w:kern w:val="0"/>
                <w:sz w:val="24"/>
              </w:rPr>
              <w:t>6</w:t>
            </w:r>
          </w:p>
        </w:tc>
        <w:tc>
          <w:tcPr>
            <w:tcW w:w="1723"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第五章第二条服务要求第六项</w:t>
            </w:r>
          </w:p>
        </w:tc>
        <w:tc>
          <w:tcPr>
            <w:tcW w:w="3379"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服务期限</w:t>
            </w:r>
          </w:p>
        </w:tc>
        <w:tc>
          <w:tcPr>
            <w:tcW w:w="3842" w:type="dxa"/>
            <w:noWrap/>
            <w:vAlign w:val="center"/>
          </w:tcPr>
          <w:p>
            <w:pPr>
              <w:pStyle w:val="6"/>
              <w:tabs>
                <w:tab w:val="left" w:pos="6880"/>
              </w:tabs>
              <w:spacing w:line="240" w:lineRule="exact"/>
              <w:ind w:firstLine="0" w:firstLineChars="0"/>
              <w:jc w:val="center"/>
              <w:rPr>
                <w:kern w:val="0"/>
                <w:sz w:val="24"/>
              </w:rPr>
            </w:pPr>
            <w:r>
              <w:rPr>
                <w:rFonts w:hint="eastAsia"/>
                <w:kern w:val="0"/>
                <w:sz w:val="24"/>
              </w:rPr>
              <w:t>服务期限三年，自合同生效之日起计算。</w:t>
            </w:r>
          </w:p>
        </w:tc>
        <w:tc>
          <w:tcPr>
            <w:tcW w:w="1678" w:type="dxa"/>
            <w:noWrap/>
            <w:vAlign w:val="center"/>
          </w:tcPr>
          <w:p>
            <w:pPr>
              <w:pStyle w:val="6"/>
              <w:tabs>
                <w:tab w:val="left" w:pos="6880"/>
              </w:tabs>
              <w:spacing w:line="360" w:lineRule="auto"/>
              <w:ind w:firstLine="480"/>
              <w:rPr>
                <w:kern w:val="0"/>
                <w:sz w:val="24"/>
              </w:rPr>
            </w:pPr>
          </w:p>
        </w:tc>
      </w:tr>
    </w:tbl>
    <w:p>
      <w:pPr>
        <w:spacing w:line="400" w:lineRule="exact"/>
        <w:ind w:left="600" w:leftChars="57" w:hanging="480" w:hangingChars="200"/>
        <w:rPr>
          <w:rFonts w:hAnsi="宋体"/>
          <w:sz w:val="24"/>
        </w:rPr>
      </w:pPr>
      <w:r>
        <w:rPr>
          <w:rFonts w:hint="eastAsia" w:hAnsi="宋体"/>
          <w:sz w:val="24"/>
        </w:rPr>
        <w:t>注：1. 按照比选项目服务要求对应填写。</w:t>
      </w:r>
    </w:p>
    <w:p>
      <w:pPr>
        <w:spacing w:line="400" w:lineRule="exact"/>
        <w:ind w:left="598" w:leftChars="285"/>
        <w:rPr>
          <w:rFonts w:hAnsi="宋体"/>
          <w:sz w:val="24"/>
        </w:rPr>
      </w:pPr>
      <w:r>
        <w:rPr>
          <w:rFonts w:hint="eastAsia" w:hAnsi="宋体"/>
          <w:sz w:val="24"/>
        </w:rPr>
        <w:t>2．</w:t>
      </w:r>
      <w:r>
        <w:rPr>
          <w:rFonts w:hint="eastAsia"/>
          <w:bCs/>
          <w:sz w:val="24"/>
        </w:rPr>
        <w:t>比选申请</w:t>
      </w:r>
      <w:r>
        <w:rPr>
          <w:bCs/>
          <w:sz w:val="24"/>
        </w:rPr>
        <w:t>人</w:t>
      </w:r>
      <w:r>
        <w:rPr>
          <w:rFonts w:hint="eastAsia" w:hAnsi="宋体"/>
          <w:sz w:val="24"/>
        </w:rPr>
        <w:t>据实填写，不得虚假填写，否则将取消其比选或成交资格。</w:t>
      </w:r>
    </w:p>
    <w:p>
      <w:pPr>
        <w:spacing w:line="400" w:lineRule="exact"/>
        <w:ind w:left="598" w:leftChars="285"/>
        <w:rPr>
          <w:rFonts w:hAnsi="宋体"/>
          <w:sz w:val="24"/>
        </w:rPr>
      </w:pPr>
    </w:p>
    <w:p>
      <w:pPr>
        <w:adjustRightInd w:val="0"/>
        <w:spacing w:line="400" w:lineRule="exact"/>
        <w:ind w:firstLine="490" w:firstLineChars="175"/>
        <w:jc w:val="left"/>
        <w:rPr>
          <w:rFonts w:hAnsi="宋体"/>
          <w:bCs/>
          <w:sz w:val="28"/>
          <w:szCs w:val="28"/>
        </w:rPr>
      </w:pPr>
    </w:p>
    <w:p>
      <w:pPr>
        <w:spacing w:line="400" w:lineRule="exact"/>
        <w:ind w:left="598" w:leftChars="285"/>
        <w:rPr>
          <w:bCs/>
          <w:sz w:val="24"/>
        </w:rPr>
      </w:pPr>
      <w:r>
        <w:rPr>
          <w:rFonts w:hint="eastAsia"/>
          <w:bCs/>
          <w:sz w:val="24"/>
        </w:rPr>
        <w:t>比选申请</w:t>
      </w:r>
      <w:r>
        <w:rPr>
          <w:bCs/>
          <w:sz w:val="24"/>
        </w:rPr>
        <w:t>人名称：        （盖章）</w:t>
      </w:r>
    </w:p>
    <w:p>
      <w:pPr>
        <w:adjustRightInd w:val="0"/>
        <w:spacing w:line="400" w:lineRule="exact"/>
        <w:ind w:firstLine="420" w:firstLineChars="175"/>
        <w:jc w:val="left"/>
        <w:rPr>
          <w:bCs/>
          <w:sz w:val="24"/>
        </w:rPr>
      </w:pPr>
      <w:r>
        <w:rPr>
          <w:sz w:val="24"/>
        </w:rPr>
        <w:t>法定代表人或授权代表（签字）</w:t>
      </w:r>
      <w:r>
        <w:rPr>
          <w:bCs/>
          <w:sz w:val="24"/>
        </w:rPr>
        <w:t>：</w:t>
      </w:r>
    </w:p>
    <w:p>
      <w:pPr>
        <w:adjustRightInd w:val="0"/>
        <w:spacing w:line="400" w:lineRule="exact"/>
        <w:ind w:firstLine="420" w:firstLineChars="175"/>
        <w:jc w:val="left"/>
        <w:rPr>
          <w:bCs/>
          <w:sz w:val="24"/>
        </w:rPr>
      </w:pPr>
      <w:r>
        <w:rPr>
          <w:bCs/>
          <w:sz w:val="24"/>
        </w:rPr>
        <w:t>日期</w:t>
      </w:r>
      <w:r>
        <w:rPr>
          <w:rFonts w:hint="eastAsia"/>
          <w:bCs/>
          <w:sz w:val="24"/>
        </w:rPr>
        <w:t>：</w:t>
      </w:r>
    </w:p>
    <w:p>
      <w:pPr>
        <w:pStyle w:val="2"/>
      </w:pPr>
    </w:p>
    <w:p>
      <w:pPr>
        <w:pStyle w:val="2"/>
      </w:pPr>
    </w:p>
    <w:p>
      <w:pPr>
        <w:pStyle w:val="2"/>
      </w:pPr>
    </w:p>
    <w:p/>
    <w:p>
      <w:pPr>
        <w:pStyle w:val="2"/>
      </w:pPr>
    </w:p>
    <w:p>
      <w:pPr>
        <w:pStyle w:val="2"/>
      </w:pPr>
    </w:p>
    <w:p>
      <w:pPr>
        <w:pStyle w:val="2"/>
      </w:pPr>
    </w:p>
    <w:bookmarkEnd w:id="202"/>
    <w:bookmarkEnd w:id="203"/>
    <w:p>
      <w:pPr>
        <w:pStyle w:val="4"/>
        <w:spacing w:line="400" w:lineRule="exact"/>
        <w:jc w:val="center"/>
        <w:rPr>
          <w:bCs w:val="0"/>
          <w:sz w:val="24"/>
        </w:rPr>
      </w:pPr>
      <w:bookmarkStart w:id="205" w:name="_Toc414979546"/>
      <w:bookmarkStart w:id="206" w:name="_Toc217446091"/>
      <w:bookmarkStart w:id="207" w:name="_Toc21802"/>
      <w:bookmarkStart w:id="208" w:name="_Toc19647"/>
      <w:r>
        <w:rPr>
          <w:rFonts w:hint="eastAsia" w:ascii="Times New Roman" w:hAnsi="Times New Roman"/>
          <w:bCs w:val="0"/>
          <w:kern w:val="0"/>
          <w:sz w:val="28"/>
          <w:szCs w:val="28"/>
        </w:rPr>
        <w:t>六</w:t>
      </w:r>
      <w:r>
        <w:rPr>
          <w:rFonts w:ascii="Times New Roman" w:hAnsi="Times New Roman"/>
          <w:bCs w:val="0"/>
          <w:kern w:val="0"/>
          <w:sz w:val="28"/>
          <w:szCs w:val="28"/>
        </w:rPr>
        <w:t>、</w:t>
      </w:r>
      <w:r>
        <w:rPr>
          <w:rFonts w:hint="eastAsia" w:ascii="Times New Roman" w:hAnsi="Times New Roman"/>
          <w:bCs w:val="0"/>
          <w:kern w:val="0"/>
          <w:sz w:val="28"/>
          <w:szCs w:val="28"/>
        </w:rPr>
        <w:t>比选申请</w:t>
      </w:r>
      <w:r>
        <w:rPr>
          <w:rFonts w:ascii="Times New Roman" w:hAnsi="Times New Roman"/>
          <w:bCs w:val="0"/>
          <w:kern w:val="0"/>
          <w:sz w:val="28"/>
          <w:szCs w:val="28"/>
        </w:rPr>
        <w:t>人本项目管理、技术、服务人员情况表</w:t>
      </w:r>
      <w:bookmarkEnd w:id="205"/>
      <w:bookmarkEnd w:id="206"/>
      <w:bookmarkEnd w:id="207"/>
      <w:bookmarkEnd w:id="208"/>
    </w:p>
    <w:tbl>
      <w:tblPr>
        <w:tblStyle w:val="14"/>
        <w:tblW w:w="9463"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241"/>
        <w:gridCol w:w="1391"/>
        <w:gridCol w:w="1786"/>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159" w:type="dxa"/>
            <w:noWrap/>
            <w:vAlign w:val="center"/>
          </w:tcPr>
          <w:p>
            <w:pPr>
              <w:spacing w:line="360" w:lineRule="auto"/>
              <w:jc w:val="center"/>
              <w:rPr>
                <w:rFonts w:ascii="宋体" w:hAnsi="宋体" w:cs="宋体"/>
                <w:b/>
                <w:bCs/>
                <w:sz w:val="24"/>
              </w:rPr>
            </w:pPr>
            <w:r>
              <w:rPr>
                <w:rFonts w:hint="eastAsia" w:ascii="宋体" w:hAnsi="宋体" w:cs="宋体"/>
                <w:b/>
                <w:bCs/>
                <w:sz w:val="24"/>
              </w:rPr>
              <w:t>姓名</w:t>
            </w:r>
          </w:p>
        </w:tc>
        <w:tc>
          <w:tcPr>
            <w:tcW w:w="1241" w:type="dxa"/>
            <w:noWrap/>
            <w:vAlign w:val="center"/>
          </w:tcPr>
          <w:p>
            <w:pPr>
              <w:spacing w:line="360" w:lineRule="auto"/>
              <w:jc w:val="center"/>
              <w:rPr>
                <w:rFonts w:ascii="宋体" w:hAnsi="宋体" w:cs="宋体"/>
                <w:b/>
                <w:bCs/>
                <w:sz w:val="24"/>
              </w:rPr>
            </w:pPr>
            <w:r>
              <w:rPr>
                <w:rFonts w:hint="eastAsia" w:ascii="宋体" w:hAnsi="宋体" w:cs="宋体"/>
                <w:b/>
                <w:bCs/>
                <w:sz w:val="24"/>
              </w:rPr>
              <w:t>团队职务</w:t>
            </w:r>
          </w:p>
        </w:tc>
        <w:tc>
          <w:tcPr>
            <w:tcW w:w="1391" w:type="dxa"/>
            <w:noWrap/>
            <w:vAlign w:val="center"/>
          </w:tcPr>
          <w:p>
            <w:pPr>
              <w:spacing w:line="360" w:lineRule="auto"/>
              <w:jc w:val="center"/>
              <w:rPr>
                <w:rFonts w:ascii="宋体" w:hAnsi="宋体" w:cs="宋体"/>
                <w:b/>
                <w:bCs/>
                <w:sz w:val="24"/>
              </w:rPr>
            </w:pPr>
            <w:r>
              <w:rPr>
                <w:rFonts w:hint="eastAsia" w:ascii="宋体" w:hAnsi="宋体" w:cs="宋体"/>
                <w:b/>
                <w:bCs/>
                <w:sz w:val="24"/>
              </w:rPr>
              <w:t>从业年限</w:t>
            </w:r>
          </w:p>
        </w:tc>
        <w:tc>
          <w:tcPr>
            <w:tcW w:w="1786" w:type="dxa"/>
            <w:noWrap/>
            <w:vAlign w:val="center"/>
          </w:tcPr>
          <w:p>
            <w:pPr>
              <w:spacing w:line="360" w:lineRule="auto"/>
              <w:jc w:val="center"/>
              <w:rPr>
                <w:rFonts w:ascii="宋体" w:hAnsi="宋体" w:cs="宋体"/>
                <w:b/>
                <w:bCs/>
                <w:sz w:val="24"/>
              </w:rPr>
            </w:pPr>
            <w:r>
              <w:rPr>
                <w:rFonts w:hint="eastAsia" w:ascii="宋体" w:hAnsi="宋体" w:cs="宋体"/>
                <w:b/>
                <w:bCs/>
                <w:sz w:val="24"/>
              </w:rPr>
              <w:t>律所职务</w:t>
            </w:r>
          </w:p>
        </w:tc>
        <w:tc>
          <w:tcPr>
            <w:tcW w:w="3886" w:type="dxa"/>
            <w:noWrap/>
            <w:vAlign w:val="center"/>
          </w:tcPr>
          <w:p>
            <w:pPr>
              <w:spacing w:line="360" w:lineRule="auto"/>
              <w:jc w:val="center"/>
              <w:rPr>
                <w:rFonts w:ascii="宋体" w:hAnsi="宋体" w:cs="宋体"/>
                <w:b/>
                <w:bCs/>
                <w:sz w:val="24"/>
              </w:rPr>
            </w:pPr>
            <w:r>
              <w:rPr>
                <w:rFonts w:hint="eastAsia" w:ascii="宋体" w:hAnsi="宋体" w:cs="宋体"/>
                <w:b/>
                <w:bCs/>
                <w:sz w:val="24"/>
              </w:rPr>
              <w:t>专长领域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59" w:type="dxa"/>
            <w:noWrap/>
            <w:vAlign w:val="center"/>
          </w:tcPr>
          <w:p>
            <w:pPr>
              <w:spacing w:line="360" w:lineRule="auto"/>
              <w:jc w:val="center"/>
              <w:rPr>
                <w:rFonts w:ascii="宋体" w:hAnsi="宋体" w:cs="宋体"/>
                <w:sz w:val="24"/>
              </w:rPr>
            </w:pPr>
          </w:p>
        </w:tc>
        <w:tc>
          <w:tcPr>
            <w:tcW w:w="1241" w:type="dxa"/>
            <w:noWrap/>
            <w:vAlign w:val="center"/>
          </w:tcPr>
          <w:p>
            <w:pPr>
              <w:spacing w:line="360" w:lineRule="auto"/>
              <w:jc w:val="center"/>
              <w:rPr>
                <w:rFonts w:ascii="宋体" w:hAnsi="宋体" w:cs="宋体"/>
                <w:sz w:val="24"/>
              </w:rPr>
            </w:pPr>
          </w:p>
        </w:tc>
        <w:tc>
          <w:tcPr>
            <w:tcW w:w="1391" w:type="dxa"/>
            <w:noWrap/>
            <w:vAlign w:val="center"/>
          </w:tcPr>
          <w:p>
            <w:pPr>
              <w:spacing w:line="360" w:lineRule="auto"/>
              <w:jc w:val="center"/>
              <w:rPr>
                <w:rFonts w:ascii="宋体" w:hAnsi="宋体" w:cs="宋体"/>
                <w:sz w:val="24"/>
              </w:rPr>
            </w:pPr>
          </w:p>
        </w:tc>
        <w:tc>
          <w:tcPr>
            <w:tcW w:w="1786" w:type="dxa"/>
            <w:noWrap/>
            <w:vAlign w:val="center"/>
          </w:tcPr>
          <w:p>
            <w:pPr>
              <w:spacing w:line="360" w:lineRule="auto"/>
              <w:jc w:val="center"/>
              <w:rPr>
                <w:rFonts w:ascii="宋体" w:hAnsi="宋体" w:cs="宋体"/>
                <w:sz w:val="24"/>
              </w:rPr>
            </w:pPr>
          </w:p>
        </w:tc>
        <w:tc>
          <w:tcPr>
            <w:tcW w:w="3886" w:type="dxa"/>
            <w:noWrap/>
            <w:vAlign w:val="center"/>
          </w:tcPr>
          <w:p>
            <w:pPr>
              <w:spacing w:line="360" w:lineRule="auto"/>
              <w:jc w:val="center"/>
              <w:rPr>
                <w:rFonts w:ascii="宋体" w:hAnsi="宋体" w:cs="宋体"/>
                <w:sz w:val="24"/>
              </w:rPr>
            </w:pPr>
          </w:p>
        </w:tc>
      </w:tr>
    </w:tbl>
    <w:p>
      <w:pPr>
        <w:spacing w:line="400" w:lineRule="exact"/>
        <w:jc w:val="center"/>
        <w:rPr>
          <w:b/>
          <w:bCs/>
          <w:sz w:val="28"/>
        </w:rPr>
      </w:pPr>
    </w:p>
    <w:p>
      <w:pPr>
        <w:adjustRightInd w:val="0"/>
        <w:spacing w:line="400" w:lineRule="exact"/>
        <w:ind w:firstLine="900" w:firstLineChars="375"/>
        <w:jc w:val="left"/>
        <w:rPr>
          <w:bCs/>
          <w:sz w:val="24"/>
        </w:rPr>
      </w:pPr>
      <w:r>
        <w:rPr>
          <w:rFonts w:hint="eastAsia"/>
          <w:bCs/>
          <w:sz w:val="24"/>
        </w:rPr>
        <w:t>比选申请</w:t>
      </w:r>
      <w:r>
        <w:rPr>
          <w:bCs/>
          <w:sz w:val="24"/>
        </w:rPr>
        <w:t>人名称：        （盖章）</w:t>
      </w:r>
    </w:p>
    <w:p>
      <w:pPr>
        <w:adjustRightInd w:val="0"/>
        <w:spacing w:line="400" w:lineRule="exact"/>
        <w:ind w:firstLine="900" w:firstLineChars="375"/>
        <w:jc w:val="left"/>
        <w:rPr>
          <w:bCs/>
          <w:sz w:val="24"/>
        </w:rPr>
      </w:pPr>
      <w:r>
        <w:rPr>
          <w:sz w:val="24"/>
        </w:rPr>
        <w:t>法定代表人或授权代表（签字）</w:t>
      </w:r>
      <w:r>
        <w:rPr>
          <w:bCs/>
          <w:sz w:val="24"/>
        </w:rPr>
        <w:t>：</w:t>
      </w:r>
    </w:p>
    <w:p>
      <w:pPr>
        <w:adjustRightInd w:val="0"/>
        <w:spacing w:line="400" w:lineRule="exact"/>
        <w:ind w:firstLine="900" w:firstLineChars="375"/>
        <w:jc w:val="left"/>
        <w:rPr>
          <w:bCs/>
          <w:sz w:val="24"/>
        </w:rPr>
      </w:pPr>
      <w:r>
        <w:rPr>
          <w:bCs/>
          <w:sz w:val="24"/>
        </w:rPr>
        <w:t>日期</w:t>
      </w:r>
      <w:r>
        <w:rPr>
          <w:rFonts w:hint="eastAsia"/>
          <w:bCs/>
          <w:sz w:val="24"/>
        </w:rPr>
        <w:t>：</w:t>
      </w:r>
    </w:p>
    <w:p/>
    <w:p>
      <w:pPr>
        <w:pStyle w:val="2"/>
        <w:rPr>
          <w:rFonts w:hAnsi="宋体"/>
          <w:sz w:val="24"/>
        </w:rPr>
      </w:pPr>
      <w:r>
        <w:rPr>
          <w:rFonts w:ascii="宋体" w:hAnsi="宋体"/>
          <w:sz w:val="24"/>
        </w:rPr>
        <w:br w:type="page"/>
      </w:r>
      <w:bookmarkStart w:id="209" w:name="_Toc4767"/>
      <w:bookmarkStart w:id="210" w:name="_Toc414979547"/>
    </w:p>
    <w:p>
      <w:pPr>
        <w:pStyle w:val="4"/>
        <w:jc w:val="center"/>
        <w:rPr>
          <w:rFonts w:ascii="Times New Roman" w:hAnsi="Times New Roman"/>
        </w:rPr>
      </w:pPr>
      <w:bookmarkStart w:id="211" w:name="_Toc25046"/>
      <w:r>
        <w:rPr>
          <w:rFonts w:hint="eastAsia" w:ascii="Times New Roman" w:hAnsi="Times New Roman"/>
          <w:sz w:val="28"/>
        </w:rPr>
        <w:t>七、</w:t>
      </w:r>
      <w:bookmarkEnd w:id="209"/>
      <w:bookmarkEnd w:id="210"/>
      <w:r>
        <w:rPr>
          <w:rFonts w:hint="eastAsia" w:ascii="Times New Roman" w:hAnsi="Times New Roman"/>
          <w:sz w:val="28"/>
        </w:rPr>
        <w:t>服务方案及承诺</w:t>
      </w:r>
      <w:bookmarkEnd w:id="211"/>
    </w:p>
    <w:p>
      <w:pPr>
        <w:spacing w:line="480" w:lineRule="auto"/>
        <w:ind w:left="426"/>
        <w:rPr>
          <w:rFonts w:ascii="宋体" w:hAnsi="宋体"/>
          <w:sz w:val="24"/>
        </w:rPr>
      </w:pPr>
      <w:r>
        <w:rPr>
          <w:rFonts w:hint="eastAsia" w:ascii="宋体" w:hAnsi="宋体"/>
          <w:sz w:val="24"/>
        </w:rPr>
        <w:t>比选申请人</w:t>
      </w:r>
      <w:r>
        <w:rPr>
          <w:rFonts w:ascii="宋体" w:hAnsi="宋体"/>
          <w:sz w:val="24"/>
        </w:rPr>
        <w:t>自行拟定格式和</w:t>
      </w:r>
      <w:r>
        <w:rPr>
          <w:rFonts w:hint="eastAsia" w:ascii="宋体" w:hAnsi="宋体"/>
          <w:sz w:val="24"/>
        </w:rPr>
        <w:t>详细</w:t>
      </w:r>
      <w:r>
        <w:rPr>
          <w:rFonts w:ascii="宋体" w:hAnsi="宋体"/>
          <w:sz w:val="24"/>
        </w:rPr>
        <w:t>内容</w:t>
      </w:r>
      <w:r>
        <w:rPr>
          <w:rFonts w:hint="eastAsia" w:ascii="宋体" w:hAnsi="宋体"/>
          <w:sz w:val="24"/>
        </w:rPr>
        <w:t>。</w:t>
      </w: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spacing w:line="480" w:lineRule="auto"/>
        <w:rPr>
          <w:sz w:val="24"/>
        </w:rPr>
      </w:pPr>
    </w:p>
    <w:p>
      <w:pPr>
        <w:pStyle w:val="2"/>
        <w:rPr>
          <w:sz w:val="24"/>
        </w:rPr>
      </w:pPr>
    </w:p>
    <w:p>
      <w:pPr>
        <w:pStyle w:val="2"/>
        <w:rPr>
          <w:rFonts w:hint="eastAsia"/>
          <w:sz w:val="24"/>
        </w:rPr>
      </w:pPr>
    </w:p>
    <w:p>
      <w:pPr>
        <w:rPr>
          <w:rFonts w:hint="eastAsia"/>
        </w:rPr>
      </w:pPr>
    </w:p>
    <w:p>
      <w:pPr>
        <w:pStyle w:val="2"/>
        <w:rPr>
          <w:rFonts w:hint="eastAsia"/>
        </w:rPr>
      </w:pPr>
    </w:p>
    <w:p>
      <w:pPr>
        <w:rPr>
          <w:rFonts w:hint="eastAsia"/>
        </w:rPr>
      </w:pPr>
    </w:p>
    <w:p>
      <w:pPr>
        <w:pStyle w:val="2"/>
      </w:pPr>
    </w:p>
    <w:p/>
    <w:p>
      <w:pPr>
        <w:pStyle w:val="3"/>
        <w:spacing w:line="276" w:lineRule="auto"/>
        <w:jc w:val="center"/>
        <w:rPr>
          <w:rFonts w:ascii="黑体" w:hAnsi="黑体" w:eastAsia="黑体"/>
          <w:sz w:val="32"/>
          <w:szCs w:val="32"/>
        </w:rPr>
      </w:pPr>
      <w:bookmarkStart w:id="212" w:name="_Toc13682"/>
      <w:bookmarkStart w:id="213" w:name="_Toc16830"/>
      <w:r>
        <w:rPr>
          <w:rFonts w:hint="eastAsia" w:ascii="黑体" w:hAnsi="黑体" w:eastAsia="黑体"/>
          <w:sz w:val="32"/>
          <w:szCs w:val="32"/>
        </w:rPr>
        <w:t>第四章  比选申请人资质性</w:t>
      </w:r>
      <w:bookmarkStart w:id="214" w:name="_Toc361754299"/>
      <w:r>
        <w:rPr>
          <w:rFonts w:hint="eastAsia" w:ascii="黑体" w:hAnsi="黑体" w:eastAsia="黑体"/>
          <w:sz w:val="32"/>
          <w:szCs w:val="32"/>
        </w:rPr>
        <w:t>及其他类似效力要求</w:t>
      </w:r>
      <w:bookmarkEnd w:id="212"/>
      <w:bookmarkEnd w:id="213"/>
      <w:bookmarkEnd w:id="214"/>
    </w:p>
    <w:p>
      <w:pPr>
        <w:rPr>
          <w:rFonts w:ascii="宋体" w:hAnsi="宋体"/>
          <w:b/>
          <w:bCs/>
          <w:sz w:val="24"/>
        </w:rPr>
      </w:pPr>
      <w:bookmarkStart w:id="215" w:name="_Toc8919"/>
      <w:bookmarkStart w:id="216" w:name="_Toc1735"/>
      <w:bookmarkStart w:id="217" w:name="_Toc8970"/>
      <w:r>
        <w:rPr>
          <w:rFonts w:ascii="宋体" w:hAnsi="宋体"/>
          <w:b/>
          <w:bCs/>
          <w:sz w:val="24"/>
        </w:rPr>
        <w:t>一、</w:t>
      </w:r>
      <w:r>
        <w:rPr>
          <w:rFonts w:hint="eastAsia" w:ascii="宋体" w:hAnsi="宋体"/>
          <w:b/>
          <w:bCs/>
          <w:sz w:val="24"/>
        </w:rPr>
        <w:t>比选申请人</w:t>
      </w:r>
      <w:r>
        <w:rPr>
          <w:rFonts w:ascii="宋体" w:hAnsi="宋体"/>
          <w:b/>
          <w:bCs/>
          <w:sz w:val="24"/>
        </w:rPr>
        <w:t>应提交的资格证明材料</w:t>
      </w:r>
      <w:bookmarkEnd w:id="215"/>
      <w:bookmarkEnd w:id="216"/>
      <w:bookmarkEnd w:id="217"/>
    </w:p>
    <w:p>
      <w:pPr>
        <w:pStyle w:val="17"/>
        <w:ind w:firstLine="480"/>
        <w:rPr>
          <w:rFonts w:ascii="宋体" w:hAnsi="宋体"/>
          <w:sz w:val="24"/>
        </w:rPr>
      </w:pPr>
      <w:r>
        <w:rPr>
          <w:rFonts w:hint="eastAsia" w:ascii="宋体" w:hAnsi="宋体"/>
          <w:sz w:val="24"/>
        </w:rPr>
        <w:t>1、具有独立承担民事责任的能力</w:t>
      </w:r>
      <w:r>
        <w:rPr>
          <w:rFonts w:hint="eastAsia" w:ascii="宋体" w:hAnsi="宋体" w:cs="宋体"/>
          <w:b/>
          <w:kern w:val="0"/>
          <w:sz w:val="24"/>
        </w:rPr>
        <w:t>（①比选申请人为企业（包括合伙企业）、个体工商户的，提供统一社会信用代码的营业执照复印件加盖公章；②比选申请人为其他组织的，提供合法的法人证书或执业许可证等证明文件复印件加盖公章；）</w:t>
      </w:r>
      <w:r>
        <w:rPr>
          <w:rFonts w:ascii="宋体" w:hAnsi="宋体"/>
          <w:b/>
          <w:sz w:val="24"/>
        </w:rPr>
        <w:t>；</w:t>
      </w:r>
    </w:p>
    <w:p>
      <w:pPr>
        <w:tabs>
          <w:tab w:val="left" w:pos="7665"/>
        </w:tabs>
        <w:spacing w:line="360" w:lineRule="auto"/>
        <w:ind w:firstLine="480" w:firstLineChars="200"/>
        <w:rPr>
          <w:rFonts w:ascii="宋体" w:hAnsi="宋体"/>
          <w:sz w:val="24"/>
        </w:rPr>
      </w:pPr>
      <w:r>
        <w:rPr>
          <w:rFonts w:hint="eastAsia" w:ascii="宋体" w:hAnsi="宋体"/>
          <w:sz w:val="24"/>
        </w:rPr>
        <w:t>2、具有良好的商业信誉和健全的财务会计制度：</w:t>
      </w:r>
      <w:r>
        <w:rPr>
          <w:rFonts w:hint="eastAsia" w:ascii="宋体" w:hAnsi="宋体"/>
          <w:b/>
          <w:bCs/>
          <w:sz w:val="24"/>
        </w:rPr>
        <w:t>(①具有商业信誉证明材料：可提供书面承诺函；②健全的财务会计制度证明材料：提供面承诺函</w:t>
      </w:r>
      <w:r>
        <w:rPr>
          <w:rFonts w:hint="eastAsia" w:ascii="宋体" w:hAnsi="宋体" w:cs="宋体"/>
          <w:b/>
          <w:bCs/>
          <w:sz w:val="24"/>
        </w:rPr>
        <w:t>；</w:t>
      </w:r>
    </w:p>
    <w:p>
      <w:pPr>
        <w:tabs>
          <w:tab w:val="left" w:pos="7665"/>
        </w:tabs>
        <w:spacing w:line="360" w:lineRule="auto"/>
        <w:ind w:firstLine="480" w:firstLineChars="200"/>
        <w:rPr>
          <w:rFonts w:ascii="宋体" w:hAnsi="宋体"/>
          <w:b/>
          <w:bCs/>
          <w:sz w:val="24"/>
        </w:rPr>
      </w:pPr>
      <w:r>
        <w:rPr>
          <w:rFonts w:hint="eastAsia" w:ascii="宋体" w:hAnsi="宋体"/>
          <w:sz w:val="24"/>
        </w:rPr>
        <w:t>3、具有履行合同所必须的设备和专业技术能力</w:t>
      </w:r>
      <w:r>
        <w:rPr>
          <w:rFonts w:hint="eastAsia" w:ascii="宋体" w:hAnsi="宋体"/>
          <w:b/>
          <w:bCs/>
          <w:sz w:val="24"/>
        </w:rPr>
        <w:t>（比选申请人提供公司能力情况说明或同等效力的其他证明材料或书面承诺函）；</w:t>
      </w:r>
    </w:p>
    <w:p>
      <w:pPr>
        <w:tabs>
          <w:tab w:val="left" w:pos="7665"/>
        </w:tabs>
        <w:spacing w:line="360" w:lineRule="auto"/>
        <w:ind w:firstLine="480" w:firstLineChars="200"/>
      </w:pPr>
      <w:r>
        <w:rPr>
          <w:rFonts w:hint="eastAsia" w:ascii="宋体" w:hAnsi="宋体"/>
          <w:sz w:val="24"/>
        </w:rPr>
        <w:t>4、具有依法缴纳税收和社会保障资金的良好记录</w:t>
      </w:r>
      <w:r>
        <w:rPr>
          <w:rFonts w:hint="eastAsia" w:ascii="宋体" w:hAnsi="宋体"/>
          <w:b/>
          <w:bCs/>
          <w:sz w:val="24"/>
        </w:rPr>
        <w:t>（</w:t>
      </w:r>
      <w:r>
        <w:rPr>
          <w:rFonts w:hint="eastAsia" w:ascii="宋体" w:hAnsi="宋体" w:cs="宋体"/>
          <w:b/>
          <w:bCs/>
          <w:sz w:val="24"/>
        </w:rPr>
        <w:t>提供比选相关同等效力的证明材料或书面承诺函；</w:t>
      </w:r>
      <w:r>
        <w:rPr>
          <w:rFonts w:hint="eastAsia" w:ascii="宋体" w:hAnsi="宋体"/>
          <w:b/>
          <w:bCs/>
          <w:sz w:val="24"/>
        </w:rPr>
        <w:t>）；</w:t>
      </w:r>
      <w:r>
        <w:rPr>
          <w:rFonts w:hint="eastAsia" w:ascii="宋体" w:hAnsi="宋体"/>
          <w:b/>
          <w:bCs/>
          <w:sz w:val="24"/>
        </w:rPr>
        <w:br w:type="textWrapping"/>
      </w:r>
      <w:r>
        <w:rPr>
          <w:rFonts w:hint="eastAsia" w:ascii="宋体" w:hAnsi="宋体"/>
          <w:sz w:val="24"/>
        </w:rPr>
        <w:t>5、参加本次采购活动前三年内，在经营活动中没有重大违法记录</w:t>
      </w:r>
      <w:r>
        <w:rPr>
          <w:rFonts w:hint="eastAsia" w:ascii="宋体" w:hAnsi="宋体"/>
          <w:b/>
          <w:bCs/>
          <w:sz w:val="24"/>
        </w:rPr>
        <w:t>（提供书面承诺函）。</w:t>
      </w:r>
    </w:p>
    <w:p>
      <w:pPr>
        <w:pStyle w:val="17"/>
        <w:ind w:firstLine="480"/>
        <w:rPr>
          <w:rFonts w:ascii="宋体" w:hAnsi="宋体"/>
          <w:b/>
          <w:bCs/>
          <w:sz w:val="24"/>
        </w:rPr>
      </w:pPr>
      <w:r>
        <w:rPr>
          <w:rFonts w:hint="eastAsia" w:ascii="宋体" w:hAnsi="宋体"/>
          <w:sz w:val="24"/>
        </w:rPr>
        <w:t>6、法律、行政法规规定的其他条件</w:t>
      </w:r>
      <w:r>
        <w:rPr>
          <w:rFonts w:ascii="宋体" w:hAnsi="宋体"/>
          <w:sz w:val="24"/>
        </w:rPr>
        <w:t>：</w:t>
      </w:r>
      <w:r>
        <w:rPr>
          <w:rFonts w:hint="eastAsia" w:ascii="宋体" w:hAnsi="宋体"/>
          <w:b/>
          <w:bCs/>
          <w:sz w:val="24"/>
        </w:rPr>
        <w:t>（提供书面承诺函）。</w:t>
      </w:r>
    </w:p>
    <w:p>
      <w:pPr>
        <w:pStyle w:val="17"/>
        <w:ind w:firstLine="480"/>
        <w:rPr>
          <w:rFonts w:ascii="宋体" w:hAnsi="宋体"/>
          <w:sz w:val="24"/>
        </w:rPr>
      </w:pPr>
      <w:r>
        <w:rPr>
          <w:rFonts w:hint="eastAsia" w:ascii="宋体" w:hAnsi="宋体"/>
          <w:sz w:val="24"/>
        </w:rPr>
        <w:t>7、根据采购项目提出的特殊条件</w:t>
      </w:r>
      <w:r>
        <w:rPr>
          <w:rFonts w:ascii="宋体" w:hAnsi="宋体"/>
          <w:sz w:val="24"/>
        </w:rPr>
        <w:t>：</w:t>
      </w:r>
    </w:p>
    <w:p>
      <w:pPr>
        <w:pStyle w:val="17"/>
        <w:spacing w:line="440" w:lineRule="exact"/>
        <w:ind w:firstLine="480"/>
        <w:rPr>
          <w:rFonts w:ascii="宋体" w:hAnsi="宋体"/>
          <w:sz w:val="24"/>
        </w:rPr>
      </w:pPr>
      <w:r>
        <w:rPr>
          <w:rFonts w:hint="eastAsia"/>
          <w:sz w:val="24"/>
        </w:rPr>
        <w:t>（1）本项目参加采购活动的比选申请人、法定代表人或主要负责人前三年内不得具有行贿犯罪记录</w:t>
      </w:r>
      <w:r>
        <w:rPr>
          <w:rFonts w:hint="eastAsia" w:ascii="宋体" w:hAnsi="宋体"/>
          <w:sz w:val="24"/>
        </w:rPr>
        <w:t>（</w:t>
      </w:r>
      <w:r>
        <w:rPr>
          <w:rFonts w:hint="eastAsia" w:ascii="宋体" w:hAnsi="宋体"/>
          <w:b/>
          <w:bCs/>
          <w:sz w:val="24"/>
        </w:rPr>
        <w:t>提供书面承诺函</w:t>
      </w:r>
      <w:r>
        <w:rPr>
          <w:rFonts w:hint="eastAsia" w:ascii="宋体" w:hAnsi="宋体"/>
          <w:sz w:val="24"/>
        </w:rPr>
        <w:t>）；</w:t>
      </w:r>
    </w:p>
    <w:p>
      <w:pPr>
        <w:pStyle w:val="17"/>
        <w:spacing w:line="440" w:lineRule="exact"/>
        <w:ind w:firstLine="480"/>
        <w:rPr>
          <w:rFonts w:ascii="宋体" w:hAnsi="宋体"/>
          <w:b/>
          <w:bCs/>
          <w:sz w:val="24"/>
        </w:rPr>
      </w:pPr>
      <w:r>
        <w:rPr>
          <w:rFonts w:hint="eastAsia" w:ascii="宋体" w:hAnsi="宋体"/>
          <w:sz w:val="24"/>
        </w:rPr>
        <w:t>（2）比选申请人须持有经年检合格的律师事务所执业许可证</w:t>
      </w:r>
      <w:r>
        <w:rPr>
          <w:rFonts w:hint="eastAsia"/>
          <w:b/>
          <w:bCs/>
          <w:sz w:val="24"/>
        </w:rPr>
        <w:t>（提供相关证明材料复印件并加盖公章）。</w:t>
      </w:r>
    </w:p>
    <w:p>
      <w:pPr>
        <w:tabs>
          <w:tab w:val="left" w:pos="851"/>
          <w:tab w:val="left" w:pos="993"/>
        </w:tabs>
        <w:spacing w:line="580" w:lineRule="exact"/>
        <w:rPr>
          <w:rFonts w:ascii="宋体" w:hAnsi="宋体"/>
          <w:b/>
          <w:sz w:val="24"/>
        </w:rPr>
      </w:pPr>
      <w:r>
        <w:rPr>
          <w:rFonts w:hint="eastAsia" w:ascii="宋体" w:hAnsi="宋体"/>
          <w:b/>
          <w:sz w:val="24"/>
        </w:rPr>
        <w:t>二、其他类似效力要求相关证明材料：</w:t>
      </w:r>
    </w:p>
    <w:p>
      <w:pPr>
        <w:tabs>
          <w:tab w:val="left" w:pos="993"/>
        </w:tabs>
        <w:spacing w:line="580" w:lineRule="exact"/>
        <w:ind w:firstLine="480" w:firstLineChars="200"/>
        <w:jc w:val="left"/>
        <w:rPr>
          <w:rFonts w:ascii="黑体" w:hAnsi="黑体" w:eastAsia="黑体"/>
          <w:sz w:val="32"/>
          <w:szCs w:val="32"/>
        </w:rPr>
      </w:pPr>
      <w:r>
        <w:rPr>
          <w:rFonts w:hint="eastAsia" w:ascii="宋体" w:hAnsi="宋体"/>
          <w:sz w:val="24"/>
        </w:rPr>
        <w:t>（一）法定代表人身份证复印件（身份证两面均应复印）或护照复印件（注：1.法定代表人身份证复印件（在</w:t>
      </w:r>
      <w:bookmarkStart w:id="257" w:name="_GoBack"/>
      <w:bookmarkEnd w:id="257"/>
      <w:r>
        <w:rPr>
          <w:rFonts w:hint="eastAsia" w:ascii="宋体" w:hAnsi="宋体"/>
          <w:sz w:val="24"/>
        </w:rPr>
        <w:t>有效期内）或律师执业证；2.复印件加盖公章。</w:t>
      </w:r>
    </w:p>
    <w:p>
      <w:pPr>
        <w:pStyle w:val="3"/>
        <w:jc w:val="left"/>
        <w:rPr>
          <w:rFonts w:ascii="黑体" w:hAnsi="黑体" w:eastAsia="黑体"/>
          <w:sz w:val="32"/>
          <w:szCs w:val="32"/>
        </w:rPr>
      </w:pPr>
      <w:bookmarkStart w:id="218" w:name="_Toc7354"/>
      <w:bookmarkStart w:id="219" w:name="_Toc27881"/>
      <w:r>
        <w:rPr>
          <w:rFonts w:hint="eastAsia" w:ascii="宋体" w:hAnsi="宋体"/>
          <w:b w:val="0"/>
          <w:bCs w:val="0"/>
          <w:kern w:val="2"/>
          <w:sz w:val="24"/>
          <w:szCs w:val="24"/>
          <w:lang w:val="en-US" w:eastAsia="zh-CN"/>
        </w:rPr>
        <w:t xml:space="preserve">   </w:t>
      </w:r>
      <w:r>
        <w:rPr>
          <w:rFonts w:hint="eastAsia" w:ascii="宋体" w:hAnsi="宋体"/>
          <w:b w:val="0"/>
          <w:bCs w:val="0"/>
          <w:kern w:val="2"/>
          <w:sz w:val="24"/>
          <w:szCs w:val="24"/>
        </w:rPr>
        <w:t>（二）代理人律师执业证（包含主页和年检页）（注：1.代理人律师执业证复印件；2.在有效期内；3.复印件加盖公章；4.如比选申请文件均由比选申请人法定代表人签字的，则可不提供。）</w:t>
      </w:r>
      <w:bookmarkStart w:id="220" w:name="_Toc217446093"/>
      <w:bookmarkStart w:id="221" w:name="_Toc4882"/>
      <w:r>
        <w:rPr>
          <w:rFonts w:hint="eastAsia" w:ascii="宋体" w:hAnsi="宋体"/>
          <w:b w:val="0"/>
          <w:bCs w:val="0"/>
          <w:kern w:val="2"/>
          <w:sz w:val="24"/>
          <w:szCs w:val="24"/>
        </w:rPr>
        <w:br w:type="page"/>
      </w:r>
      <w:r>
        <w:rPr>
          <w:rFonts w:hint="eastAsia" w:ascii="黑体" w:hAnsi="黑体" w:eastAsia="黑体"/>
          <w:sz w:val="32"/>
          <w:szCs w:val="32"/>
        </w:rPr>
        <w:t>第五章  采购项目技术、服务、采购合同内容条款及其他商务要求</w:t>
      </w:r>
      <w:bookmarkEnd w:id="218"/>
      <w:bookmarkEnd w:id="219"/>
      <w:bookmarkEnd w:id="220"/>
      <w:bookmarkEnd w:id="221"/>
    </w:p>
    <w:p>
      <w:pPr>
        <w:spacing w:line="360" w:lineRule="auto"/>
        <w:rPr>
          <w:rFonts w:ascii="宋体" w:hAnsi="宋体" w:cs="宋体"/>
          <w:b/>
          <w:bCs/>
          <w:sz w:val="24"/>
        </w:rPr>
      </w:pPr>
      <w:bookmarkStart w:id="222" w:name="_Toc24791"/>
      <w:r>
        <w:rPr>
          <w:rFonts w:hint="eastAsia" w:ascii="宋体" w:hAnsi="宋体" w:cs="宋体"/>
          <w:b/>
          <w:bCs/>
          <w:sz w:val="24"/>
        </w:rPr>
        <w:t>一、项目背景及要求</w:t>
      </w:r>
    </w:p>
    <w:p>
      <w:pPr>
        <w:pStyle w:val="6"/>
        <w:spacing w:line="360" w:lineRule="auto"/>
        <w:ind w:firstLine="480"/>
        <w:rPr>
          <w:sz w:val="24"/>
        </w:rPr>
      </w:pPr>
      <w:r>
        <w:rPr>
          <w:rFonts w:hint="eastAsia"/>
          <w:sz w:val="24"/>
        </w:rPr>
        <w:t>合作开发方案背景如下：</w:t>
      </w:r>
    </w:p>
    <w:p>
      <w:pPr>
        <w:widowControl/>
        <w:numPr>
          <w:ilvl w:val="0"/>
          <w:numId w:val="2"/>
        </w:numPr>
        <w:spacing w:before="139" w:line="500" w:lineRule="exact"/>
        <w:ind w:firstLine="480" w:firstLineChars="200"/>
        <w:jc w:val="left"/>
        <w:rPr>
          <w:rFonts w:eastAsia="仿宋_GB2312"/>
          <w:sz w:val="32"/>
          <w:szCs w:val="32"/>
        </w:rPr>
      </w:pPr>
      <w:r>
        <w:rPr>
          <w:rFonts w:hint="eastAsia"/>
          <w:sz w:val="24"/>
        </w:rPr>
        <w:t>A公司拥有一块面积约98亩的住宅用地，</w:t>
      </w:r>
      <w:r>
        <w:rPr>
          <w:sz w:val="24"/>
        </w:rPr>
        <w:t>兼容商业建筑面积不大于计容建筑面积15%；容积率＞1.0且≤2.7；建筑密度≤30%；绿地率≥30%</w:t>
      </w:r>
      <w:r>
        <w:rPr>
          <w:rFonts w:hint="eastAsia"/>
          <w:sz w:val="24"/>
        </w:rPr>
        <w:t>；土地价值约2亿元。因缺少建设资金、管理人员、营销经验，拟与股东方B公司（拥有A公司30%股份）采用以下模式合作开发。</w:t>
      </w:r>
    </w:p>
    <w:p>
      <w:pPr>
        <w:pStyle w:val="6"/>
        <w:spacing w:line="360" w:lineRule="auto"/>
        <w:ind w:firstLine="480"/>
        <w:rPr>
          <w:sz w:val="24"/>
        </w:rPr>
      </w:pPr>
      <w:r>
        <w:rPr>
          <w:rFonts w:hint="eastAsia"/>
          <w:sz w:val="24"/>
        </w:rPr>
        <w:t>合作开发-固定收益模式：A公司与B公司签订合作开发协议，A公司负责提供土地、收取固定收益（土地加收益合计3亿元），B公司负责开发建设、销售运营等具体工作并提供全部开发资金，同时享有除A公司固定回收资金、项目开发成本及税收外的所有收益。本项目只能以A公司作为项目业主进行开发建设，需通过公开招标方式选择EPC总承包单位。</w:t>
      </w:r>
    </w:p>
    <w:p>
      <w:pPr>
        <w:pStyle w:val="6"/>
        <w:spacing w:line="360" w:lineRule="auto"/>
        <w:ind w:firstLine="480"/>
        <w:rPr>
          <w:sz w:val="24"/>
        </w:rPr>
      </w:pPr>
      <w:r>
        <w:rPr>
          <w:rFonts w:hint="eastAsia"/>
          <w:sz w:val="24"/>
        </w:rPr>
        <w:t>项目实现销售后，销售款优先用于回收A公司固定收益，然后依次支付项目开发建设成本、税费。在合作项目所投入成本全部结清后,项目盈利或亏损，全部由B公司承担。</w:t>
      </w:r>
    </w:p>
    <w:p>
      <w:pPr>
        <w:numPr>
          <w:ilvl w:val="0"/>
          <w:numId w:val="3"/>
        </w:numPr>
        <w:spacing w:line="360" w:lineRule="auto"/>
        <w:rPr>
          <w:rFonts w:ascii="宋体" w:hAnsi="宋体" w:cs="宋体"/>
          <w:b/>
          <w:bCs/>
          <w:sz w:val="24"/>
        </w:rPr>
      </w:pPr>
      <w:r>
        <w:rPr>
          <w:rFonts w:hint="eastAsia" w:ascii="宋体" w:hAnsi="宋体" w:cs="宋体"/>
          <w:b/>
          <w:bCs/>
          <w:sz w:val="24"/>
        </w:rPr>
        <w:t>服务要求</w:t>
      </w:r>
    </w:p>
    <w:p>
      <w:pPr>
        <w:pStyle w:val="6"/>
        <w:spacing w:line="360" w:lineRule="auto"/>
        <w:ind w:firstLine="0" w:firstLineChars="0"/>
        <w:rPr>
          <w:sz w:val="24"/>
        </w:rPr>
      </w:pPr>
      <w:r>
        <w:rPr>
          <w:rFonts w:hint="eastAsia"/>
          <w:sz w:val="24"/>
        </w:rPr>
        <w:t>（一）服务团队要求</w:t>
      </w:r>
    </w:p>
    <w:p>
      <w:pPr>
        <w:pStyle w:val="6"/>
        <w:spacing w:line="360" w:lineRule="auto"/>
        <w:ind w:firstLine="480"/>
        <w:rPr>
          <w:sz w:val="24"/>
        </w:rPr>
      </w:pPr>
      <w:r>
        <w:rPr>
          <w:rFonts w:hint="eastAsia"/>
          <w:sz w:val="24"/>
        </w:rPr>
        <w:t>中标比选申请人应推荐不少于2名专职律师专门负责攀枝花三线文化有限公司法律工作（执业年限超过10年的专职律师不低于1名）。</w:t>
      </w:r>
    </w:p>
    <w:p>
      <w:pPr>
        <w:pStyle w:val="6"/>
        <w:numPr>
          <w:ilvl w:val="0"/>
          <w:numId w:val="4"/>
        </w:numPr>
        <w:spacing w:line="360" w:lineRule="auto"/>
        <w:ind w:firstLine="0" w:firstLineChars="0"/>
        <w:rPr>
          <w:sz w:val="24"/>
        </w:rPr>
      </w:pPr>
      <w:r>
        <w:rPr>
          <w:rFonts w:hint="eastAsia"/>
          <w:sz w:val="24"/>
        </w:rPr>
        <w:t>服务内容</w:t>
      </w:r>
    </w:p>
    <w:p>
      <w:pPr>
        <w:pStyle w:val="6"/>
        <w:numPr>
          <w:ilvl w:val="0"/>
          <w:numId w:val="5"/>
        </w:numPr>
        <w:spacing w:line="360" w:lineRule="auto"/>
        <w:ind w:firstLine="480"/>
        <w:rPr>
          <w:sz w:val="24"/>
        </w:rPr>
      </w:pPr>
      <w:r>
        <w:rPr>
          <w:rFonts w:hint="eastAsia"/>
          <w:sz w:val="24"/>
        </w:rPr>
        <w:t>日常法律事务。根据服务对象的日常工作需要提供日常法律服务，包括解答法律咨询、出具法律意见、列席相关会议，对合同、文件进行审查修改，拟定相关法律文书。</w:t>
      </w:r>
    </w:p>
    <w:p>
      <w:pPr>
        <w:pStyle w:val="6"/>
        <w:numPr>
          <w:ilvl w:val="0"/>
          <w:numId w:val="5"/>
        </w:numPr>
        <w:spacing w:line="360" w:lineRule="auto"/>
        <w:ind w:firstLine="480"/>
        <w:rPr>
          <w:sz w:val="24"/>
        </w:rPr>
      </w:pPr>
      <w:r>
        <w:rPr>
          <w:sz w:val="24"/>
        </w:rPr>
        <w:t>诉讼（复议）办理。涉及的民事诉讼、行政诉讼、行政复议案件等的代理和协助办理。</w:t>
      </w:r>
    </w:p>
    <w:p>
      <w:pPr>
        <w:pStyle w:val="6"/>
        <w:numPr>
          <w:ilvl w:val="0"/>
          <w:numId w:val="5"/>
        </w:numPr>
        <w:spacing w:line="360" w:lineRule="auto"/>
        <w:ind w:firstLine="480"/>
        <w:rPr>
          <w:sz w:val="24"/>
        </w:rPr>
      </w:pPr>
      <w:r>
        <w:rPr>
          <w:sz w:val="24"/>
        </w:rPr>
        <w:t>重大非诉讼专项服务。重大法律事项（如重大公共事件、重大行政决策、重大合同的签署等重要事项），事务本身重大复杂，服务时限较长，需要投入大量的人力完成的法律服务事项。</w:t>
      </w:r>
    </w:p>
    <w:p>
      <w:pPr>
        <w:pStyle w:val="6"/>
        <w:numPr>
          <w:ilvl w:val="0"/>
          <w:numId w:val="4"/>
        </w:numPr>
        <w:spacing w:line="360" w:lineRule="auto"/>
        <w:ind w:firstLine="0" w:firstLineChars="0"/>
        <w:rPr>
          <w:sz w:val="24"/>
        </w:rPr>
      </w:pPr>
      <w:r>
        <w:rPr>
          <w:sz w:val="24"/>
        </w:rPr>
        <w:t>服务方式</w:t>
      </w:r>
    </w:p>
    <w:p>
      <w:pPr>
        <w:pStyle w:val="6"/>
        <w:spacing w:line="360" w:lineRule="auto"/>
        <w:ind w:firstLine="480"/>
        <w:rPr>
          <w:sz w:val="24"/>
        </w:rPr>
      </w:pPr>
      <w:r>
        <w:rPr>
          <w:rFonts w:hint="eastAsia"/>
          <w:sz w:val="24"/>
        </w:rPr>
        <w:t>1、</w:t>
      </w:r>
      <w:r>
        <w:rPr>
          <w:sz w:val="24"/>
        </w:rPr>
        <w:t>日常法律服务</w:t>
      </w:r>
    </w:p>
    <w:p>
      <w:pPr>
        <w:pStyle w:val="6"/>
        <w:spacing w:line="360" w:lineRule="auto"/>
        <w:ind w:firstLine="480"/>
        <w:rPr>
          <w:sz w:val="24"/>
        </w:rPr>
      </w:pPr>
      <w:r>
        <w:rPr>
          <w:sz w:val="24"/>
        </w:rPr>
        <w:t>服务对象根据工作需要可随时通知法律顾问到场提供法律服务，服务提供商应根据服务内容的难易、紧急程度和采购人的时限要求，在1天内完成响应处理</w:t>
      </w:r>
      <w:r>
        <w:rPr>
          <w:rFonts w:hint="eastAsia"/>
          <w:sz w:val="24"/>
        </w:rPr>
        <w:t>；</w:t>
      </w:r>
      <w:r>
        <w:rPr>
          <w:sz w:val="24"/>
        </w:rPr>
        <w:t>需要进行尽职调查</w:t>
      </w:r>
      <w:r>
        <w:rPr>
          <w:rFonts w:hint="eastAsia"/>
          <w:sz w:val="24"/>
        </w:rPr>
        <w:t>，</w:t>
      </w:r>
      <w:r>
        <w:rPr>
          <w:sz w:val="24"/>
        </w:rPr>
        <w:t xml:space="preserve">方能表达意见的除外。 </w:t>
      </w:r>
    </w:p>
    <w:p>
      <w:pPr>
        <w:pStyle w:val="6"/>
        <w:spacing w:line="360" w:lineRule="auto"/>
        <w:ind w:firstLine="480"/>
        <w:rPr>
          <w:sz w:val="24"/>
        </w:rPr>
      </w:pPr>
      <w:r>
        <w:rPr>
          <w:rFonts w:hint="eastAsia"/>
          <w:sz w:val="24"/>
        </w:rPr>
        <w:t>2、</w:t>
      </w:r>
      <w:r>
        <w:rPr>
          <w:sz w:val="24"/>
        </w:rPr>
        <w:t>委托授权</w:t>
      </w:r>
    </w:p>
    <w:p>
      <w:pPr>
        <w:pStyle w:val="6"/>
        <w:spacing w:line="360" w:lineRule="auto"/>
        <w:ind w:firstLine="480"/>
        <w:rPr>
          <w:sz w:val="24"/>
        </w:rPr>
      </w:pPr>
      <w:r>
        <w:rPr>
          <w:sz w:val="24"/>
        </w:rPr>
        <w:t>法律顾问应当根据合同规定和服务对象委托的权限进行服务活动，不得超越委托权限。</w:t>
      </w:r>
    </w:p>
    <w:p>
      <w:pPr>
        <w:pStyle w:val="6"/>
        <w:numPr>
          <w:ilvl w:val="0"/>
          <w:numId w:val="4"/>
        </w:numPr>
        <w:spacing w:line="360" w:lineRule="auto"/>
        <w:ind w:firstLine="0" w:firstLineChars="0"/>
        <w:rPr>
          <w:sz w:val="24"/>
        </w:rPr>
      </w:pPr>
      <w:r>
        <w:rPr>
          <w:sz w:val="24"/>
        </w:rPr>
        <w:t>具体服务内容</w:t>
      </w:r>
    </w:p>
    <w:p>
      <w:pPr>
        <w:pStyle w:val="6"/>
        <w:numPr>
          <w:ilvl w:val="0"/>
          <w:numId w:val="6"/>
        </w:numPr>
        <w:spacing w:line="360" w:lineRule="auto"/>
        <w:ind w:firstLine="480"/>
        <w:rPr>
          <w:sz w:val="24"/>
        </w:rPr>
      </w:pPr>
      <w:r>
        <w:rPr>
          <w:sz w:val="24"/>
        </w:rPr>
        <w:t>协助</w:t>
      </w:r>
      <w:r>
        <w:rPr>
          <w:rFonts w:hint="eastAsia"/>
          <w:sz w:val="24"/>
        </w:rPr>
        <w:t>服务对象</w:t>
      </w:r>
      <w:r>
        <w:rPr>
          <w:sz w:val="24"/>
        </w:rPr>
        <w:t>正确理解国家及地方政府关于建筑工程的法律、法规及相关政策，准确掌握行业管理法律动态，为</w:t>
      </w:r>
      <w:r>
        <w:rPr>
          <w:rFonts w:hint="eastAsia"/>
          <w:sz w:val="24"/>
        </w:rPr>
        <w:t>服务对象</w:t>
      </w:r>
      <w:r>
        <w:rPr>
          <w:sz w:val="24"/>
        </w:rPr>
        <w:t>建设工程项目提供法律支撑；为服务对象对外签订合同或重大</w:t>
      </w:r>
      <w:r>
        <w:rPr>
          <w:rFonts w:hint="eastAsia"/>
          <w:sz w:val="24"/>
        </w:rPr>
        <w:t>项目</w:t>
      </w:r>
      <w:r>
        <w:rPr>
          <w:sz w:val="24"/>
        </w:rPr>
        <w:t>等工作提供法律意见；</w:t>
      </w:r>
    </w:p>
    <w:p>
      <w:pPr>
        <w:pStyle w:val="6"/>
        <w:numPr>
          <w:ilvl w:val="0"/>
          <w:numId w:val="6"/>
        </w:numPr>
        <w:spacing w:line="360" w:lineRule="auto"/>
        <w:ind w:firstLine="480"/>
        <w:rPr>
          <w:sz w:val="24"/>
        </w:rPr>
      </w:pPr>
      <w:r>
        <w:rPr>
          <w:sz w:val="24"/>
        </w:rPr>
        <w:t>代理涉及服务对象的诉讼、行政复议（包括服务对象作为复议机关的复议案件）、仲裁和执行等案件</w:t>
      </w:r>
      <w:r>
        <w:rPr>
          <w:rFonts w:hint="eastAsia"/>
          <w:sz w:val="24"/>
        </w:rPr>
        <w:t>，</w:t>
      </w:r>
      <w:r>
        <w:rPr>
          <w:rFonts w:hint="eastAsia" w:ascii="Calibri" w:hAnsi="Calibri"/>
          <w:sz w:val="24"/>
        </w:rPr>
        <w:t>按照《四川省律师法律服务收费行业指导标准（试行）》第二条第（一）款规定的标准下浮10%-40%计取代理费用，具体下浮比例根据情况由双方协商确定，并另行签订《委托代理合同》。</w:t>
      </w:r>
    </w:p>
    <w:p>
      <w:pPr>
        <w:pStyle w:val="6"/>
        <w:numPr>
          <w:ilvl w:val="0"/>
          <w:numId w:val="6"/>
        </w:numPr>
        <w:spacing w:line="360" w:lineRule="auto"/>
        <w:ind w:firstLine="480"/>
        <w:rPr>
          <w:sz w:val="24"/>
        </w:rPr>
      </w:pPr>
      <w:r>
        <w:rPr>
          <w:sz w:val="24"/>
        </w:rPr>
        <w:t>为服务对象就其日常业务运营中所提出的问题或疑问进行法律研究‌，‌提供口头或书面的法律咨询意见；</w:t>
      </w:r>
    </w:p>
    <w:p>
      <w:pPr>
        <w:pStyle w:val="6"/>
        <w:numPr>
          <w:ilvl w:val="0"/>
          <w:numId w:val="6"/>
        </w:numPr>
        <w:spacing w:line="360" w:lineRule="auto"/>
        <w:ind w:firstLine="480"/>
        <w:rPr>
          <w:sz w:val="24"/>
        </w:rPr>
      </w:pPr>
      <w:r>
        <w:rPr>
          <w:sz w:val="24"/>
        </w:rPr>
        <w:t>根据服务对象要求，审查并修改贵公司因日常业务运营需要而与第三方签订的协议、合同及其它法律文书‌，‌出具一般性的法律意见；</w:t>
      </w:r>
    </w:p>
    <w:p>
      <w:pPr>
        <w:pStyle w:val="6"/>
        <w:numPr>
          <w:ilvl w:val="0"/>
          <w:numId w:val="6"/>
        </w:numPr>
        <w:spacing w:line="360" w:lineRule="auto"/>
        <w:ind w:firstLine="480"/>
        <w:rPr>
          <w:sz w:val="24"/>
        </w:rPr>
      </w:pPr>
      <w:r>
        <w:rPr>
          <w:sz w:val="24"/>
        </w:rPr>
        <w:t>就</w:t>
      </w:r>
      <w:r>
        <w:rPr>
          <w:rFonts w:hint="eastAsia"/>
          <w:sz w:val="24"/>
        </w:rPr>
        <w:t>服务对象</w:t>
      </w:r>
      <w:r>
        <w:rPr>
          <w:sz w:val="24"/>
        </w:rPr>
        <w:t>在日常业务运营中的债权债务纠纷等有关事项‌，‌与第三方进行交涉‌，‌出具律师函‌，‌维护贵公司的合法权益；</w:t>
      </w:r>
    </w:p>
    <w:p>
      <w:pPr>
        <w:pStyle w:val="6"/>
        <w:numPr>
          <w:ilvl w:val="0"/>
          <w:numId w:val="6"/>
        </w:numPr>
        <w:spacing w:line="360" w:lineRule="auto"/>
        <w:ind w:firstLine="480"/>
        <w:rPr>
          <w:sz w:val="24"/>
        </w:rPr>
      </w:pPr>
      <w:r>
        <w:rPr>
          <w:sz w:val="24"/>
        </w:rPr>
        <w:t>就</w:t>
      </w:r>
      <w:r>
        <w:rPr>
          <w:rFonts w:hint="eastAsia"/>
          <w:sz w:val="24"/>
        </w:rPr>
        <w:t>服务对象</w:t>
      </w:r>
      <w:r>
        <w:rPr>
          <w:sz w:val="24"/>
        </w:rPr>
        <w:t>的商业计划或融资计划提出口头的初步法律意见；</w:t>
      </w:r>
    </w:p>
    <w:p>
      <w:pPr>
        <w:pStyle w:val="6"/>
        <w:numPr>
          <w:ilvl w:val="0"/>
          <w:numId w:val="6"/>
        </w:numPr>
        <w:spacing w:line="360" w:lineRule="auto"/>
        <w:ind w:firstLine="480"/>
        <w:rPr>
          <w:sz w:val="24"/>
        </w:rPr>
      </w:pPr>
      <w:r>
        <w:rPr>
          <w:sz w:val="24"/>
        </w:rPr>
        <w:t>根据</w:t>
      </w:r>
      <w:r>
        <w:rPr>
          <w:rFonts w:hint="eastAsia"/>
          <w:sz w:val="24"/>
        </w:rPr>
        <w:t>服务对象</w:t>
      </w:r>
      <w:r>
        <w:rPr>
          <w:sz w:val="24"/>
        </w:rPr>
        <w:t>要求‌，‌审查贵公司的内部管理制度‌，‌劳动合同文本及与之相关的培训协议、保密协议等；</w:t>
      </w:r>
    </w:p>
    <w:p>
      <w:pPr>
        <w:pStyle w:val="6"/>
        <w:numPr>
          <w:ilvl w:val="0"/>
          <w:numId w:val="6"/>
        </w:numPr>
        <w:spacing w:line="360" w:lineRule="auto"/>
        <w:ind w:firstLine="480"/>
        <w:rPr>
          <w:sz w:val="24"/>
        </w:rPr>
      </w:pPr>
      <w:r>
        <w:rPr>
          <w:sz w:val="24"/>
        </w:rPr>
        <w:t>对服务对象起草、拟定和审查的规范性文件提供法律意见或建议；</w:t>
      </w:r>
    </w:p>
    <w:p>
      <w:pPr>
        <w:pStyle w:val="6"/>
        <w:numPr>
          <w:ilvl w:val="0"/>
          <w:numId w:val="6"/>
        </w:numPr>
        <w:spacing w:line="360" w:lineRule="auto"/>
        <w:ind w:firstLine="480"/>
        <w:rPr>
          <w:sz w:val="24"/>
        </w:rPr>
      </w:pPr>
      <w:r>
        <w:rPr>
          <w:sz w:val="24"/>
        </w:rPr>
        <w:t>为服务对象起草、审查合同和对内部制定的规章制度提供合法性审查意见；</w:t>
      </w:r>
    </w:p>
    <w:p>
      <w:pPr>
        <w:pStyle w:val="6"/>
        <w:numPr>
          <w:ilvl w:val="0"/>
          <w:numId w:val="6"/>
        </w:numPr>
        <w:spacing w:line="360" w:lineRule="auto"/>
        <w:ind w:firstLine="480"/>
        <w:rPr>
          <w:sz w:val="24"/>
        </w:rPr>
      </w:pPr>
      <w:r>
        <w:rPr>
          <w:sz w:val="24"/>
        </w:rPr>
        <w:t>根据需要，为服务对象提供相关法律培训；（合同期内至少</w:t>
      </w:r>
      <w:r>
        <w:rPr>
          <w:rFonts w:hint="eastAsia"/>
          <w:sz w:val="24"/>
        </w:rPr>
        <w:t>3</w:t>
      </w:r>
      <w:r>
        <w:rPr>
          <w:sz w:val="24"/>
        </w:rPr>
        <w:t>次）</w:t>
      </w:r>
    </w:p>
    <w:p>
      <w:pPr>
        <w:pStyle w:val="6"/>
        <w:numPr>
          <w:ilvl w:val="0"/>
          <w:numId w:val="6"/>
        </w:numPr>
        <w:spacing w:line="360" w:lineRule="auto"/>
        <w:ind w:firstLine="480"/>
        <w:rPr>
          <w:sz w:val="24"/>
        </w:rPr>
      </w:pPr>
      <w:r>
        <w:rPr>
          <w:sz w:val="24"/>
        </w:rPr>
        <w:t>参加需要法律顾问列席的会议，并针对会议内容提供法律咨询意见。</w:t>
      </w:r>
    </w:p>
    <w:p>
      <w:pPr>
        <w:pStyle w:val="6"/>
        <w:spacing w:line="360" w:lineRule="auto"/>
        <w:ind w:firstLine="480"/>
        <w:rPr>
          <w:sz w:val="24"/>
        </w:rPr>
      </w:pPr>
      <w:r>
        <w:rPr>
          <w:sz w:val="24"/>
        </w:rPr>
        <w:t>12、协助服务对象依据法律规定和合同约定在项目建设过程中，协调处理项目停建、缓建、逾期竣工、设计变更、工程量增减、质量事故理赔等事宜；</w:t>
      </w:r>
    </w:p>
    <w:p>
      <w:pPr>
        <w:pStyle w:val="6"/>
        <w:spacing w:line="360" w:lineRule="auto"/>
        <w:ind w:firstLine="480"/>
        <w:rPr>
          <w:sz w:val="24"/>
        </w:rPr>
      </w:pPr>
      <w:r>
        <w:rPr>
          <w:sz w:val="24"/>
        </w:rPr>
        <w:t>13、协助服务对象对施工中的任何变更及变化按照合同约定的程序及书面形式予以固定，为预防争议保留证据；</w:t>
      </w:r>
    </w:p>
    <w:p>
      <w:pPr>
        <w:pStyle w:val="6"/>
        <w:spacing w:line="360" w:lineRule="auto"/>
        <w:ind w:firstLine="480"/>
        <w:rPr>
          <w:sz w:val="24"/>
        </w:rPr>
      </w:pPr>
      <w:r>
        <w:rPr>
          <w:sz w:val="24"/>
        </w:rPr>
        <w:t>14、协助服务对象制定建立和解除劳动关系的方案（包括工资结构、社会保险、经济补偿、工伤事故赔等方案），代为拟订、审查、修改《劳动合同》；</w:t>
      </w:r>
    </w:p>
    <w:p>
      <w:pPr>
        <w:pStyle w:val="6"/>
        <w:spacing w:line="360" w:lineRule="auto"/>
        <w:ind w:firstLine="480"/>
        <w:rPr>
          <w:sz w:val="24"/>
        </w:rPr>
      </w:pPr>
      <w:r>
        <w:rPr>
          <w:sz w:val="24"/>
        </w:rPr>
        <w:t>15、对项目经理及合同管理人员进行《建筑法》、《合同法》及《建筑工程施工合同》的知识培训，掌握合同谈判、签订、履行的要领；</w:t>
      </w:r>
    </w:p>
    <w:p>
      <w:pPr>
        <w:pStyle w:val="6"/>
        <w:spacing w:line="360" w:lineRule="auto"/>
        <w:ind w:firstLine="480"/>
        <w:rPr>
          <w:sz w:val="24"/>
        </w:rPr>
      </w:pPr>
      <w:r>
        <w:rPr>
          <w:sz w:val="24"/>
        </w:rPr>
        <w:t>16参与有关协商与谈判，审查或起草相关法律文件，必要时以发送《律师函》的方式为服务对象主张权利；</w:t>
      </w:r>
    </w:p>
    <w:p>
      <w:pPr>
        <w:pStyle w:val="6"/>
        <w:spacing w:line="360" w:lineRule="auto"/>
        <w:ind w:firstLine="480"/>
        <w:rPr>
          <w:sz w:val="24"/>
        </w:rPr>
      </w:pPr>
      <w:r>
        <w:rPr>
          <w:sz w:val="24"/>
        </w:rPr>
        <w:t>17、应服务对象要求，参与起草、修订涉及法人治理和公司经营管理的规章制度等相关法律文书，为贵公司完善法人治理结构提供方案、建议；</w:t>
      </w:r>
    </w:p>
    <w:p>
      <w:pPr>
        <w:pStyle w:val="6"/>
        <w:spacing w:line="360" w:lineRule="auto"/>
        <w:ind w:firstLine="480"/>
        <w:rPr>
          <w:sz w:val="24"/>
        </w:rPr>
      </w:pPr>
      <w:r>
        <w:rPr>
          <w:sz w:val="24"/>
        </w:rPr>
        <w:t>18、应服务对象要求，为贵公司股权转让、增减注册资本、合并、分立、解散、清算、重大投融资行为提供专项法律服务。</w:t>
      </w:r>
    </w:p>
    <w:p>
      <w:pPr>
        <w:pStyle w:val="6"/>
        <w:spacing w:line="360" w:lineRule="auto"/>
        <w:ind w:firstLine="480"/>
        <w:rPr>
          <w:sz w:val="24"/>
        </w:rPr>
      </w:pPr>
      <w:r>
        <w:rPr>
          <w:sz w:val="24"/>
        </w:rPr>
        <w:t>19、完成服务对象交办的其他法律事务。</w:t>
      </w:r>
    </w:p>
    <w:p>
      <w:pPr>
        <w:pStyle w:val="6"/>
        <w:spacing w:line="360" w:lineRule="auto"/>
        <w:ind w:firstLine="0" w:firstLineChars="0"/>
        <w:rPr>
          <w:sz w:val="24"/>
        </w:rPr>
      </w:pPr>
      <w:r>
        <w:rPr>
          <w:rFonts w:hint="eastAsia"/>
          <w:sz w:val="24"/>
        </w:rPr>
        <w:t>（四）履行合同</w:t>
      </w:r>
    </w:p>
    <w:p>
      <w:pPr>
        <w:pStyle w:val="6"/>
        <w:spacing w:line="360" w:lineRule="auto"/>
        <w:ind w:firstLine="480"/>
        <w:rPr>
          <w:sz w:val="24"/>
        </w:rPr>
      </w:pPr>
      <w:r>
        <w:rPr>
          <w:rFonts w:hint="eastAsia"/>
          <w:sz w:val="24"/>
        </w:rPr>
        <w:t>1、中标人在获取本项目后不得对外分包。</w:t>
      </w:r>
    </w:p>
    <w:p>
      <w:pPr>
        <w:pStyle w:val="6"/>
        <w:spacing w:line="360" w:lineRule="auto"/>
        <w:ind w:firstLine="480"/>
        <w:rPr>
          <w:sz w:val="24"/>
        </w:rPr>
      </w:pPr>
      <w:r>
        <w:rPr>
          <w:rFonts w:hint="eastAsia"/>
          <w:sz w:val="24"/>
        </w:rPr>
        <w:t>2、中标人与采购人签订合同后，合同双方应严格执行合同条款，履行合同规定的义务，保证合同的顺利完成。</w:t>
      </w:r>
    </w:p>
    <w:p>
      <w:pPr>
        <w:pStyle w:val="6"/>
        <w:spacing w:line="360" w:lineRule="auto"/>
        <w:ind w:firstLine="480"/>
        <w:rPr>
          <w:sz w:val="24"/>
        </w:rPr>
      </w:pPr>
      <w:r>
        <w:rPr>
          <w:rFonts w:hint="eastAsia"/>
          <w:sz w:val="24"/>
        </w:rPr>
        <w:t>3、在合同履行过程中，如发生合同纠纷，合同双方应按照法律顾问合同的约定以及《合同法》的有关规定进行处理。</w:t>
      </w:r>
    </w:p>
    <w:p>
      <w:pPr>
        <w:pStyle w:val="6"/>
        <w:spacing w:line="360" w:lineRule="auto"/>
        <w:ind w:firstLine="0" w:firstLineChars="0"/>
        <w:rPr>
          <w:b/>
          <w:sz w:val="24"/>
        </w:rPr>
      </w:pPr>
      <w:r>
        <w:rPr>
          <w:rFonts w:hint="eastAsia"/>
          <w:b/>
          <w:sz w:val="24"/>
        </w:rPr>
        <w:t>（五）服务期限</w:t>
      </w:r>
    </w:p>
    <w:p>
      <w:pPr>
        <w:pStyle w:val="6"/>
        <w:spacing w:line="360" w:lineRule="auto"/>
        <w:ind w:firstLine="0" w:firstLineChars="0"/>
        <w:rPr>
          <w:b/>
          <w:sz w:val="24"/>
        </w:rPr>
      </w:pPr>
      <w:r>
        <w:rPr>
          <w:b/>
          <w:sz w:val="24"/>
        </w:rPr>
        <w:t xml:space="preserve">    服务期限三年</w:t>
      </w:r>
      <w:r>
        <w:rPr>
          <w:rFonts w:hint="eastAsia"/>
          <w:b/>
          <w:sz w:val="24"/>
        </w:rPr>
        <w:t>，</w:t>
      </w:r>
      <w:r>
        <w:rPr>
          <w:b/>
          <w:sz w:val="24"/>
        </w:rPr>
        <w:t>自合同生效之日起计算</w:t>
      </w:r>
      <w:r>
        <w:rPr>
          <w:rFonts w:hint="eastAsia"/>
          <w:b/>
          <w:sz w:val="24"/>
        </w:rPr>
        <w:t>。</w:t>
      </w:r>
    </w:p>
    <w:p>
      <w:pPr>
        <w:pStyle w:val="6"/>
        <w:spacing w:line="360" w:lineRule="auto"/>
        <w:ind w:firstLine="0" w:firstLineChars="0"/>
        <w:rPr>
          <w:sz w:val="24"/>
        </w:rPr>
      </w:pPr>
    </w:p>
    <w:p>
      <w:pPr>
        <w:pStyle w:val="6"/>
        <w:spacing w:line="360" w:lineRule="auto"/>
        <w:ind w:firstLine="0" w:firstLineChars="0"/>
        <w:rPr>
          <w:sz w:val="24"/>
        </w:rPr>
      </w:pPr>
    </w:p>
    <w:p>
      <w:pPr>
        <w:pStyle w:val="6"/>
        <w:spacing w:line="360" w:lineRule="auto"/>
        <w:ind w:firstLine="0" w:firstLineChars="0"/>
        <w:rPr>
          <w:rFonts w:hint="eastAsia"/>
          <w:sz w:val="24"/>
        </w:rPr>
      </w:pPr>
    </w:p>
    <w:p>
      <w:pPr>
        <w:pStyle w:val="6"/>
        <w:spacing w:line="360" w:lineRule="auto"/>
        <w:ind w:firstLine="0" w:firstLineChars="0"/>
        <w:rPr>
          <w:sz w:val="24"/>
        </w:rPr>
      </w:pPr>
    </w:p>
    <w:p>
      <w:pPr>
        <w:pStyle w:val="3"/>
        <w:keepNext w:val="0"/>
        <w:keepLines w:val="0"/>
        <w:spacing w:line="276" w:lineRule="auto"/>
        <w:jc w:val="center"/>
        <w:rPr>
          <w:rFonts w:ascii="宋体" w:hAnsi="宋体"/>
          <w:sz w:val="36"/>
          <w:szCs w:val="36"/>
        </w:rPr>
      </w:pPr>
      <w:bookmarkStart w:id="223" w:name="_Toc20850"/>
      <w:r>
        <w:rPr>
          <w:rFonts w:hint="eastAsia" w:ascii="黑体" w:hAnsi="黑体" w:eastAsia="黑体"/>
          <w:sz w:val="32"/>
          <w:szCs w:val="32"/>
        </w:rPr>
        <w:t>第六章评审办法</w:t>
      </w:r>
      <w:bookmarkEnd w:id="223"/>
      <w:bookmarkStart w:id="224" w:name="_Hlt101846155"/>
      <w:bookmarkEnd w:id="224"/>
      <w:bookmarkStart w:id="225" w:name="_Toc217446097"/>
      <w:bookmarkStart w:id="226" w:name="_Toc208849007"/>
      <w:bookmarkStart w:id="227" w:name="_Toc183582280"/>
      <w:bookmarkStart w:id="228" w:name="_Toc183682415"/>
    </w:p>
    <w:p>
      <w:pPr>
        <w:pStyle w:val="4"/>
        <w:keepNext w:val="0"/>
        <w:keepLines w:val="0"/>
        <w:rPr>
          <w:rFonts w:ascii="宋体" w:hAnsi="宋体" w:eastAsia="宋体"/>
          <w:sz w:val="24"/>
          <w:szCs w:val="24"/>
        </w:rPr>
      </w:pPr>
      <w:bookmarkStart w:id="229" w:name="_Toc22732"/>
      <w:bookmarkStart w:id="230" w:name="_Toc23977"/>
      <w:r>
        <w:rPr>
          <w:rFonts w:hint="eastAsia" w:ascii="宋体" w:hAnsi="宋体" w:eastAsia="宋体"/>
          <w:sz w:val="24"/>
          <w:szCs w:val="24"/>
        </w:rPr>
        <w:t>1. 总  则</w:t>
      </w:r>
      <w:bookmarkEnd w:id="225"/>
      <w:bookmarkEnd w:id="226"/>
      <w:bookmarkEnd w:id="227"/>
      <w:bookmarkEnd w:id="228"/>
      <w:bookmarkEnd w:id="229"/>
      <w:bookmarkEnd w:id="230"/>
    </w:p>
    <w:p>
      <w:pPr>
        <w:spacing w:line="400" w:lineRule="exact"/>
        <w:ind w:firstLine="480" w:firstLineChars="200"/>
        <w:rPr>
          <w:rFonts w:ascii="宋体" w:hAnsi="宋体"/>
          <w:sz w:val="24"/>
        </w:rPr>
      </w:pPr>
      <w:r>
        <w:rPr>
          <w:rFonts w:hint="eastAsia" w:ascii="宋体" w:hAnsi="宋体"/>
          <w:sz w:val="24"/>
        </w:rPr>
        <w:t>1.1 结合采购项目特点制定本评审办法。</w:t>
      </w:r>
    </w:p>
    <w:p>
      <w:pPr>
        <w:spacing w:line="400" w:lineRule="exact"/>
        <w:ind w:firstLine="480" w:firstLineChars="200"/>
        <w:rPr>
          <w:rFonts w:ascii="宋体" w:hAnsi="宋体"/>
          <w:sz w:val="24"/>
        </w:rPr>
      </w:pPr>
      <w:r>
        <w:rPr>
          <w:rFonts w:hint="eastAsia" w:ascii="宋体" w:hAnsi="宋体"/>
          <w:sz w:val="24"/>
        </w:rPr>
        <w:t xml:space="preserve">1.2 </w:t>
      </w:r>
      <w:r>
        <w:rPr>
          <w:rFonts w:hint="eastAsia" w:ascii="宋体" w:hAnsi="宋体"/>
          <w:bCs/>
          <w:sz w:val="24"/>
        </w:rPr>
        <w:t>评审工作由比选采购单位负责组织。</w:t>
      </w:r>
    </w:p>
    <w:p>
      <w:pPr>
        <w:spacing w:line="400" w:lineRule="exact"/>
        <w:ind w:firstLine="480" w:firstLineChars="200"/>
        <w:rPr>
          <w:rFonts w:ascii="宋体" w:hAnsi="宋体"/>
          <w:sz w:val="24"/>
        </w:rPr>
      </w:pPr>
      <w:r>
        <w:rPr>
          <w:rFonts w:hint="eastAsia" w:ascii="宋体" w:hAnsi="宋体"/>
          <w:sz w:val="24"/>
        </w:rPr>
        <w:t>1.3 评审工作应遵循公平、公正、科学及择优的原则，并以相同的评审程序和标准对待所有的比选申请人。</w:t>
      </w:r>
    </w:p>
    <w:p>
      <w:pPr>
        <w:spacing w:line="400" w:lineRule="exact"/>
        <w:ind w:firstLine="480" w:firstLineChars="200"/>
        <w:rPr>
          <w:rFonts w:ascii="宋体" w:hAnsi="宋体"/>
          <w:sz w:val="24"/>
        </w:rPr>
      </w:pPr>
      <w:r>
        <w:rPr>
          <w:rFonts w:hint="eastAsia" w:ascii="宋体" w:hAnsi="宋体"/>
          <w:sz w:val="24"/>
        </w:rPr>
        <w:t>1.4 评审小组按照比选文件规定的评审方法和标准进行评审，并独立履行下列职责：</w:t>
      </w:r>
    </w:p>
    <w:p>
      <w:pPr>
        <w:spacing w:line="400" w:lineRule="exact"/>
        <w:ind w:firstLine="480"/>
        <w:rPr>
          <w:rFonts w:ascii="宋体" w:hAnsi="宋体"/>
          <w:sz w:val="24"/>
        </w:rPr>
      </w:pPr>
      <w:r>
        <w:rPr>
          <w:rFonts w:hint="eastAsia" w:ascii="宋体" w:hAnsi="宋体"/>
          <w:sz w:val="24"/>
        </w:rPr>
        <w:t>（1）审查比选申请文件是否符合比选文件要求，并作出评价；</w:t>
      </w:r>
    </w:p>
    <w:p>
      <w:pPr>
        <w:spacing w:line="400" w:lineRule="exact"/>
        <w:ind w:firstLine="480"/>
        <w:rPr>
          <w:rFonts w:ascii="宋体" w:hAnsi="宋体"/>
          <w:sz w:val="24"/>
        </w:rPr>
      </w:pPr>
      <w:r>
        <w:rPr>
          <w:rFonts w:hint="eastAsia" w:ascii="宋体" w:hAnsi="宋体"/>
          <w:sz w:val="24"/>
        </w:rPr>
        <w:t>（2）要求比选申请人对比选申请文件有关事项作出解释或者澄清；</w:t>
      </w:r>
    </w:p>
    <w:p>
      <w:pPr>
        <w:spacing w:line="400" w:lineRule="exact"/>
        <w:ind w:firstLine="480"/>
        <w:rPr>
          <w:rFonts w:ascii="宋体" w:hAnsi="宋体"/>
          <w:sz w:val="24"/>
        </w:rPr>
      </w:pPr>
      <w:r>
        <w:rPr>
          <w:rFonts w:hint="eastAsia" w:ascii="宋体" w:hAnsi="宋体"/>
          <w:sz w:val="24"/>
        </w:rPr>
        <w:t>（3）推荐成交候选比选申请人名单，或者受比选采购单位委托按照事先确定的办法直接确定成交比选申请人；</w:t>
      </w:r>
    </w:p>
    <w:p>
      <w:pPr>
        <w:spacing w:line="400" w:lineRule="exact"/>
        <w:ind w:firstLine="480"/>
        <w:rPr>
          <w:sz w:val="24"/>
        </w:rPr>
      </w:pPr>
      <w:r>
        <w:rPr>
          <w:rFonts w:hint="eastAsia" w:ascii="宋体" w:hAnsi="宋体"/>
          <w:sz w:val="24"/>
        </w:rPr>
        <w:t>（4</w:t>
      </w:r>
      <w:r>
        <w:rPr>
          <w:rFonts w:hint="eastAsia"/>
          <w:sz w:val="24"/>
        </w:rPr>
        <w:t>）向采购单位或者有关部门报告非法干预评审工作的行为。</w:t>
      </w:r>
    </w:p>
    <w:p>
      <w:pPr>
        <w:spacing w:line="400" w:lineRule="exact"/>
        <w:ind w:firstLine="480" w:firstLineChars="200"/>
        <w:rPr>
          <w:rFonts w:ascii="宋体" w:hAnsi="宋体"/>
          <w:sz w:val="24"/>
        </w:rPr>
      </w:pPr>
      <w:r>
        <w:rPr>
          <w:rFonts w:hint="eastAsia" w:ascii="宋体" w:hAnsi="宋体"/>
          <w:sz w:val="24"/>
        </w:rPr>
        <w:t>1.5 评审过程严格保密。比选申请人对评审小组的评审过程或合同授予决定施加影响的任何行为都可能导致其比选申请被拒绝。</w:t>
      </w:r>
    </w:p>
    <w:p>
      <w:pPr>
        <w:spacing w:line="400" w:lineRule="exact"/>
        <w:ind w:firstLine="480" w:firstLineChars="200"/>
        <w:rPr>
          <w:rFonts w:ascii="宋体" w:hAnsi="宋体"/>
          <w:sz w:val="24"/>
        </w:rPr>
      </w:pPr>
      <w:r>
        <w:rPr>
          <w:rFonts w:hint="eastAsia" w:ascii="宋体" w:hAnsi="宋体"/>
          <w:sz w:val="24"/>
        </w:rPr>
        <w:t>1.</w:t>
      </w:r>
      <w:r>
        <w:rPr>
          <w:rFonts w:ascii="宋体" w:hAnsi="宋体"/>
          <w:sz w:val="24"/>
        </w:rPr>
        <w:t xml:space="preserve">6 </w:t>
      </w:r>
      <w:r>
        <w:rPr>
          <w:rFonts w:hint="eastAsia" w:ascii="宋体" w:hAnsi="宋体"/>
          <w:sz w:val="24"/>
        </w:rPr>
        <w:t>评审小组发现比选文件表述不明确或需要说明的事项，可提请比选采购单位书面解释说明。</w:t>
      </w:r>
    </w:p>
    <w:bookmarkEnd w:id="222"/>
    <w:p>
      <w:pPr>
        <w:pStyle w:val="4"/>
        <w:rPr>
          <w:rFonts w:ascii="宋体" w:hAnsi="宋体" w:eastAsia="宋体"/>
          <w:sz w:val="24"/>
          <w:szCs w:val="24"/>
        </w:rPr>
      </w:pPr>
      <w:bookmarkStart w:id="231" w:name="_Toc19853"/>
      <w:bookmarkStart w:id="232" w:name="_Toc1984"/>
      <w:bookmarkStart w:id="233" w:name="_Toc217446098"/>
      <w:r>
        <w:rPr>
          <w:rFonts w:hint="eastAsia" w:ascii="宋体" w:hAnsi="宋体" w:eastAsia="宋体"/>
          <w:sz w:val="24"/>
          <w:szCs w:val="24"/>
        </w:rPr>
        <w:t>2. 评审方法</w:t>
      </w:r>
      <w:bookmarkEnd w:id="231"/>
      <w:bookmarkEnd w:id="232"/>
    </w:p>
    <w:p>
      <w:pPr>
        <w:spacing w:line="400" w:lineRule="exact"/>
        <w:ind w:firstLine="480" w:firstLineChars="200"/>
        <w:rPr>
          <w:sz w:val="24"/>
        </w:rPr>
      </w:pPr>
      <w:r>
        <w:rPr>
          <w:rFonts w:hint="eastAsia"/>
          <w:sz w:val="24"/>
        </w:rPr>
        <w:t>本项目评审方法为：综合评分法。</w:t>
      </w:r>
    </w:p>
    <w:p>
      <w:pPr>
        <w:pStyle w:val="4"/>
        <w:rPr>
          <w:rFonts w:ascii="宋体" w:hAnsi="宋体" w:eastAsia="宋体"/>
          <w:sz w:val="24"/>
          <w:szCs w:val="24"/>
        </w:rPr>
      </w:pPr>
      <w:bookmarkStart w:id="234" w:name="_Toc6170"/>
      <w:bookmarkStart w:id="235" w:name="_Toc26806"/>
      <w:r>
        <w:rPr>
          <w:rFonts w:hint="eastAsia" w:ascii="宋体" w:hAnsi="宋体" w:eastAsia="宋体"/>
          <w:sz w:val="24"/>
          <w:szCs w:val="24"/>
        </w:rPr>
        <w:t>3. 评审程序</w:t>
      </w:r>
      <w:bookmarkEnd w:id="233"/>
      <w:bookmarkEnd w:id="234"/>
      <w:bookmarkEnd w:id="235"/>
    </w:p>
    <w:p>
      <w:pPr>
        <w:spacing w:line="400" w:lineRule="exact"/>
        <w:ind w:firstLine="480" w:firstLineChars="200"/>
        <w:rPr>
          <w:rFonts w:ascii="宋体" w:hAnsi="宋体"/>
          <w:sz w:val="24"/>
        </w:rPr>
      </w:pPr>
      <w:bookmarkStart w:id="236" w:name="_Toc217446099"/>
      <w:r>
        <w:rPr>
          <w:rFonts w:hint="eastAsia" w:ascii="宋体" w:hAnsi="宋体"/>
          <w:sz w:val="24"/>
        </w:rPr>
        <w:t>3.1比选申请文件初审。初审分为资格性检查和符合性检查。</w:t>
      </w:r>
    </w:p>
    <w:p>
      <w:pPr>
        <w:spacing w:line="400" w:lineRule="exact"/>
        <w:ind w:firstLine="480" w:firstLineChars="200"/>
        <w:rPr>
          <w:rFonts w:ascii="宋体" w:hAnsi="宋体"/>
          <w:sz w:val="24"/>
        </w:rPr>
      </w:pPr>
      <w:r>
        <w:rPr>
          <w:rFonts w:hint="eastAsia" w:ascii="宋体" w:hAnsi="宋体"/>
          <w:sz w:val="24"/>
        </w:rPr>
        <w:t>3.1.1资格性检查。依据法律法规和比选文件的规定，对比选申请文件中的资格证明进行审查，以确定比选申请人是否具备比选申请资格。</w:t>
      </w:r>
    </w:p>
    <w:p>
      <w:pPr>
        <w:spacing w:line="400" w:lineRule="exact"/>
        <w:ind w:firstLine="480" w:firstLineChars="200"/>
        <w:rPr>
          <w:rFonts w:ascii="宋体" w:hAnsi="宋体"/>
          <w:sz w:val="24"/>
        </w:rPr>
      </w:pPr>
      <w:r>
        <w:rPr>
          <w:rFonts w:hint="eastAsia" w:ascii="宋体" w:hAnsi="宋体"/>
          <w:sz w:val="24"/>
        </w:rPr>
        <w:t>3.1.2符合性检查。依据比选文件的规定，从比选申请文件的有效性、完整性和对比选文件的响应程度进行审查，以确定是否对比选文件的实质性要求作出响应。比选申请文件属于下列情况的，在符合性检查时按照无效比选申请处理。</w:t>
      </w:r>
    </w:p>
    <w:p>
      <w:pPr>
        <w:pStyle w:val="7"/>
        <w:tabs>
          <w:tab w:val="left" w:pos="600"/>
        </w:tabs>
        <w:spacing w:line="400" w:lineRule="exact"/>
        <w:ind w:firstLine="480" w:firstLineChars="200"/>
        <w:rPr>
          <w:rFonts w:ascii="宋体" w:hAnsi="宋体"/>
          <w:sz w:val="24"/>
          <w:szCs w:val="24"/>
        </w:rPr>
      </w:pPr>
      <w:r>
        <w:rPr>
          <w:rFonts w:hint="eastAsia" w:ascii="宋体" w:hAnsi="宋体"/>
          <w:sz w:val="24"/>
          <w:szCs w:val="24"/>
        </w:rPr>
        <w:t>3.1.3在比选申请文件初审过程中，如果出现评审小组成员意见不一致的情况，按照少数服从多数的原则确定，但不得违背采购基本原则和比选文件规定。</w:t>
      </w:r>
    </w:p>
    <w:p>
      <w:pPr>
        <w:spacing w:line="400" w:lineRule="exact"/>
        <w:ind w:firstLine="480"/>
        <w:rPr>
          <w:rFonts w:ascii="宋体" w:hAnsi="宋体"/>
          <w:sz w:val="24"/>
        </w:rPr>
      </w:pPr>
      <w:r>
        <w:rPr>
          <w:rFonts w:hint="eastAsia" w:ascii="宋体" w:hAnsi="宋体"/>
          <w:sz w:val="24"/>
        </w:rPr>
        <w:t>3.2澄清有关问题。对比选申请文件中含义不明确、同类问题表述不一致或者有明显文字和计算错误的内容，评审小组可以书面形式（应当由评审小组专家签字）要求比选申请人作出必要的澄清、说明或者纠正。比选申请人的澄清、说明或者补正应当采用书面形式，由其授权的代表签字，并不得超出比选申请文件的范围或者改变比选申请文件的实质性内容。</w:t>
      </w:r>
      <w:bookmarkStart w:id="237" w:name="_Toc217446104"/>
      <w:bookmarkStart w:id="238" w:name="_Toc183582287"/>
      <w:bookmarkStart w:id="239" w:name="_Toc183682422"/>
    </w:p>
    <w:bookmarkEnd w:id="237"/>
    <w:bookmarkEnd w:id="238"/>
    <w:bookmarkEnd w:id="239"/>
    <w:p>
      <w:pPr>
        <w:spacing w:line="400" w:lineRule="exact"/>
        <w:ind w:firstLine="480"/>
        <w:rPr>
          <w:sz w:val="24"/>
        </w:rPr>
      </w:pPr>
      <w:r>
        <w:rPr>
          <w:rFonts w:hint="eastAsia" w:ascii="宋体" w:hAnsi="宋体"/>
          <w:sz w:val="24"/>
        </w:rPr>
        <w:t>3.3</w:t>
      </w:r>
      <w:r>
        <w:rPr>
          <w:rFonts w:hint="eastAsia"/>
          <w:sz w:val="24"/>
        </w:rPr>
        <w:t>比较与评价。按招比选件中规定的评审方法和标准，对资格性检查和符合性检查合格的比选申请文件进行商务和技术评估，综合比较与评价。</w:t>
      </w:r>
    </w:p>
    <w:p>
      <w:pPr>
        <w:spacing w:line="400" w:lineRule="exact"/>
        <w:ind w:firstLine="480"/>
        <w:rPr>
          <w:sz w:val="24"/>
        </w:rPr>
      </w:pPr>
      <w:r>
        <w:rPr>
          <w:rFonts w:hint="eastAsia" w:ascii="宋体" w:hAnsi="宋体"/>
          <w:sz w:val="24"/>
        </w:rPr>
        <w:t>3.4</w:t>
      </w:r>
      <w:r>
        <w:rPr>
          <w:rFonts w:hint="eastAsia"/>
          <w:sz w:val="24"/>
        </w:rPr>
        <w:t>推荐成交候选人名单。成交候选人数量应当根据采购需要确定，但必须按顺序排列成交候选比选申请人。</w:t>
      </w:r>
    </w:p>
    <w:p>
      <w:pPr>
        <w:spacing w:line="400" w:lineRule="exact"/>
        <w:ind w:firstLine="360" w:firstLineChars="150"/>
        <w:rPr>
          <w:sz w:val="24"/>
        </w:rPr>
      </w:pPr>
      <w:r>
        <w:rPr>
          <w:rFonts w:hint="eastAsia" w:ascii="宋体" w:hAnsi="宋体"/>
          <w:sz w:val="24"/>
        </w:rPr>
        <w:t>3.4.1</w:t>
      </w:r>
      <w:r>
        <w:rPr>
          <w:rFonts w:hint="eastAsia"/>
          <w:sz w:val="24"/>
        </w:rPr>
        <w:t>综合评分法：按评审后得分由高到低顺序排列。得分相同的，按比选报价由低到高顺序排列。得分且比选报价相同的，按技术指标优劣顺序排列。</w:t>
      </w:r>
    </w:p>
    <w:p>
      <w:pPr>
        <w:spacing w:line="400" w:lineRule="exact"/>
        <w:ind w:firstLine="480"/>
        <w:rPr>
          <w:sz w:val="24"/>
        </w:rPr>
      </w:pPr>
      <w:r>
        <w:rPr>
          <w:rFonts w:hint="eastAsia" w:ascii="宋体" w:hAnsi="宋体"/>
          <w:sz w:val="24"/>
        </w:rPr>
        <w:t>3.5</w:t>
      </w:r>
      <w:r>
        <w:rPr>
          <w:rFonts w:hint="eastAsia"/>
          <w:sz w:val="24"/>
        </w:rPr>
        <w:t>编写比选报告。比选报告是评审小组根据全体评审成员签字的原始评审记录和评审结果编写的报告。</w:t>
      </w:r>
    </w:p>
    <w:p>
      <w:pPr>
        <w:pStyle w:val="4"/>
        <w:spacing w:line="400" w:lineRule="exact"/>
        <w:rPr>
          <w:rFonts w:ascii="宋体" w:hAnsi="宋体" w:eastAsia="宋体"/>
          <w:sz w:val="24"/>
          <w:szCs w:val="24"/>
        </w:rPr>
      </w:pPr>
      <w:bookmarkStart w:id="240" w:name="_Toc16883"/>
      <w:bookmarkStart w:id="241" w:name="_Toc217446103"/>
      <w:bookmarkStart w:id="242" w:name="_Toc1490"/>
      <w:r>
        <w:rPr>
          <w:rFonts w:hint="eastAsia" w:ascii="宋体" w:hAnsi="宋体" w:eastAsia="宋体"/>
          <w:sz w:val="24"/>
          <w:szCs w:val="24"/>
        </w:rPr>
        <w:t>4. 评审细则及标准</w:t>
      </w:r>
      <w:bookmarkEnd w:id="240"/>
      <w:bookmarkEnd w:id="241"/>
      <w:bookmarkEnd w:id="242"/>
    </w:p>
    <w:p>
      <w:pPr>
        <w:spacing w:line="400" w:lineRule="exact"/>
        <w:ind w:firstLine="480"/>
        <w:rPr>
          <w:rFonts w:ascii="宋体" w:hAnsi="宋体"/>
          <w:sz w:val="24"/>
        </w:rPr>
      </w:pPr>
      <w:r>
        <w:rPr>
          <w:rFonts w:hint="eastAsia" w:ascii="宋体" w:hAnsi="宋体"/>
          <w:sz w:val="24"/>
        </w:rPr>
        <w:t>4.1 评委会只对通过初审的比选申请文件，根据比选文件的要求采用相同的评审程序、评分办法及标准进行评价和比较。</w:t>
      </w:r>
    </w:p>
    <w:p>
      <w:pPr>
        <w:spacing w:line="400" w:lineRule="exact"/>
        <w:ind w:firstLine="480" w:firstLineChars="200"/>
        <w:rPr>
          <w:sz w:val="24"/>
        </w:rPr>
      </w:pPr>
      <w:r>
        <w:rPr>
          <w:rFonts w:hint="eastAsia" w:ascii="宋体" w:hAnsi="宋体"/>
          <w:sz w:val="24"/>
        </w:rPr>
        <w:t xml:space="preserve">4.2 </w:t>
      </w:r>
      <w:r>
        <w:rPr>
          <w:rFonts w:hint="eastAsia"/>
          <w:sz w:val="24"/>
        </w:rPr>
        <w:t>本次综合评分的因素是：价格、服务内容、服务方案、业绩、律所或团队综合实力、比选申请文件规范性等。</w:t>
      </w:r>
    </w:p>
    <w:p>
      <w:pPr>
        <w:spacing w:line="400" w:lineRule="exact"/>
        <w:ind w:firstLine="480" w:firstLineChars="200"/>
        <w:rPr>
          <w:rFonts w:ascii="宋体" w:hAnsi="宋体"/>
          <w:sz w:val="24"/>
        </w:rPr>
      </w:pPr>
      <w:r>
        <w:rPr>
          <w:rFonts w:hint="eastAsia" w:ascii="宋体" w:hAnsi="宋体"/>
          <w:sz w:val="24"/>
        </w:rPr>
        <w:t>4.3</w:t>
      </w:r>
      <w:r>
        <w:rPr>
          <w:rFonts w:hint="eastAsia"/>
          <w:sz w:val="24"/>
        </w:rPr>
        <w:t xml:space="preserve"> 除价格因素外，评审小组成员应依据比选申请文件规定的评分标准和方法独立对其他因素进行比较打分。</w:t>
      </w:r>
    </w:p>
    <w:p>
      <w:pPr>
        <w:spacing w:line="400" w:lineRule="exact"/>
        <w:ind w:firstLine="480" w:firstLineChars="200"/>
        <w:rPr>
          <w:rFonts w:ascii="宋体" w:hAnsi="宋体"/>
          <w:sz w:val="24"/>
        </w:rPr>
      </w:pPr>
      <w:r>
        <w:rPr>
          <w:rFonts w:hint="eastAsia" w:ascii="宋体" w:hAnsi="宋体"/>
          <w:sz w:val="24"/>
        </w:rPr>
        <w:t>4.4 在评审过程中，比选申请文件有下列情况之一，评审小组成员应当按照比选文件规定的非实质性偏离进行扣分：</w:t>
      </w:r>
    </w:p>
    <w:p>
      <w:pPr>
        <w:spacing w:line="400" w:lineRule="exact"/>
        <w:ind w:firstLine="480" w:firstLineChars="200"/>
        <w:rPr>
          <w:rFonts w:ascii="宋体" w:hAnsi="宋体"/>
          <w:sz w:val="24"/>
        </w:rPr>
      </w:pPr>
      <w:r>
        <w:rPr>
          <w:rFonts w:hint="eastAsia" w:ascii="宋体" w:hAnsi="宋体"/>
          <w:sz w:val="24"/>
        </w:rPr>
        <w:t>（1）文字表述的内容含义不明确，或者同类问题表述不一致，或者有明显文字和计算错误，或者提供的技术信息和数据资料不完整，比选申请人拒不或在规定的时间内没有进行澄清、说明或补正或澄清、说明、补正的内容也不能说明问题的；</w:t>
      </w:r>
    </w:p>
    <w:p>
      <w:pPr>
        <w:spacing w:line="400" w:lineRule="exact"/>
        <w:ind w:firstLine="480" w:firstLineChars="200"/>
        <w:rPr>
          <w:rFonts w:ascii="宋体" w:hAnsi="宋体"/>
          <w:sz w:val="24"/>
        </w:rPr>
      </w:pPr>
      <w:r>
        <w:rPr>
          <w:rFonts w:hint="eastAsia" w:ascii="宋体" w:hAnsi="宋体"/>
          <w:sz w:val="24"/>
        </w:rPr>
        <w:t>（2）比选申请文件未按比选文件要求进行装订或未编制目录、页码；</w:t>
      </w:r>
    </w:p>
    <w:p>
      <w:pPr>
        <w:spacing w:line="400" w:lineRule="exact"/>
        <w:ind w:firstLine="480" w:firstLineChars="200"/>
        <w:rPr>
          <w:rFonts w:ascii="宋体" w:hAnsi="宋体"/>
          <w:sz w:val="24"/>
        </w:rPr>
      </w:pPr>
      <w:r>
        <w:rPr>
          <w:rFonts w:hint="eastAsia" w:ascii="宋体" w:hAnsi="宋体"/>
          <w:sz w:val="24"/>
        </w:rPr>
        <w:t>（3）认定的与比选文件第五章规定的技术、商务和其他规定要求不符的非实质性偏离。</w:t>
      </w:r>
    </w:p>
    <w:p>
      <w:pPr>
        <w:spacing w:line="400" w:lineRule="exact"/>
        <w:ind w:firstLine="480" w:firstLineChars="200"/>
        <w:rPr>
          <w:rFonts w:ascii="宋体" w:hAnsi="宋体"/>
          <w:sz w:val="24"/>
        </w:rPr>
      </w:pPr>
      <w:r>
        <w:rPr>
          <w:rFonts w:hint="eastAsia" w:ascii="宋体" w:hAnsi="宋体"/>
          <w:sz w:val="24"/>
        </w:rPr>
        <w:t>（4）认定的其他非实质性偏离。</w:t>
      </w:r>
    </w:p>
    <w:p>
      <w:pPr>
        <w:pStyle w:val="7"/>
        <w:tabs>
          <w:tab w:val="left" w:pos="600"/>
        </w:tabs>
        <w:spacing w:line="400" w:lineRule="exact"/>
        <w:ind w:firstLine="480" w:firstLineChars="200"/>
        <w:rPr>
          <w:rFonts w:ascii="宋体" w:hAnsi="宋体"/>
          <w:sz w:val="24"/>
          <w:szCs w:val="24"/>
        </w:rPr>
      </w:pPr>
      <w:r>
        <w:rPr>
          <w:rFonts w:hint="eastAsia" w:ascii="宋体" w:hAnsi="宋体"/>
          <w:sz w:val="24"/>
          <w:szCs w:val="24"/>
        </w:rPr>
        <w:t>4.5综合评分明细表</w:t>
      </w:r>
    </w:p>
    <w:p>
      <w:pPr>
        <w:pStyle w:val="7"/>
        <w:tabs>
          <w:tab w:val="left" w:pos="600"/>
        </w:tabs>
        <w:spacing w:line="400" w:lineRule="exact"/>
        <w:ind w:firstLine="480" w:firstLineChars="200"/>
        <w:rPr>
          <w:rFonts w:ascii="宋体" w:hAnsi="宋体"/>
          <w:sz w:val="24"/>
          <w:szCs w:val="24"/>
        </w:rPr>
      </w:pPr>
      <w:r>
        <w:rPr>
          <w:rFonts w:hint="eastAsia" w:ascii="宋体" w:hAnsi="宋体"/>
          <w:sz w:val="24"/>
          <w:szCs w:val="24"/>
        </w:rPr>
        <w:t>4.5.1综合评分明细表的制定以科学合理、降低评委会自由裁量权为原则。</w:t>
      </w:r>
    </w:p>
    <w:p>
      <w:pPr>
        <w:pStyle w:val="7"/>
        <w:tabs>
          <w:tab w:val="left" w:pos="600"/>
        </w:tabs>
        <w:spacing w:line="400" w:lineRule="exact"/>
        <w:ind w:firstLine="480" w:firstLineChars="200"/>
        <w:rPr>
          <w:rFonts w:ascii="宋体" w:hAnsi="宋体"/>
          <w:sz w:val="24"/>
          <w:szCs w:val="24"/>
        </w:rPr>
      </w:pPr>
      <w:r>
        <w:rPr>
          <w:rFonts w:hint="eastAsia" w:ascii="宋体" w:hAnsi="宋体"/>
          <w:sz w:val="24"/>
          <w:szCs w:val="24"/>
        </w:rPr>
        <w:t>4.5.2综合评分明细表。</w:t>
      </w:r>
    </w:p>
    <w:p>
      <w:pPr>
        <w:pStyle w:val="4"/>
        <w:numPr>
          <w:ilvl w:val="0"/>
          <w:numId w:val="7"/>
        </w:numPr>
        <w:rPr>
          <w:rFonts w:ascii="宋体" w:hAnsi="宋体" w:eastAsia="宋体"/>
          <w:sz w:val="24"/>
        </w:rPr>
      </w:pPr>
      <w:bookmarkStart w:id="243" w:name="_Toc361754008"/>
      <w:bookmarkStart w:id="244" w:name="_Toc23579"/>
      <w:bookmarkStart w:id="245" w:name="_Toc361754321"/>
      <w:bookmarkStart w:id="246" w:name="_Toc5494"/>
      <w:r>
        <w:rPr>
          <w:rFonts w:hint="eastAsia" w:ascii="宋体" w:hAnsi="宋体" w:eastAsia="宋体"/>
          <w:sz w:val="24"/>
        </w:rPr>
        <w:t>详细评审表</w:t>
      </w:r>
      <w:bookmarkEnd w:id="243"/>
      <w:bookmarkEnd w:id="244"/>
      <w:bookmarkEnd w:id="245"/>
      <w:bookmarkEnd w:id="246"/>
    </w:p>
    <w:tbl>
      <w:tblPr>
        <w:tblStyle w:val="14"/>
        <w:tblW w:w="9843" w:type="dxa"/>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46"/>
        <w:gridCol w:w="1050"/>
        <w:gridCol w:w="5795"/>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38" w:type="dxa"/>
            <w:noWrap/>
            <w:vAlign w:val="center"/>
          </w:tcPr>
          <w:p>
            <w:pPr>
              <w:jc w:val="left"/>
              <w:rPr>
                <w:rFonts w:ascii="宋体" w:hAnsi="宋体" w:cs="宋体"/>
                <w:b/>
                <w:bCs/>
                <w:sz w:val="24"/>
              </w:rPr>
            </w:pPr>
            <w:r>
              <w:rPr>
                <w:rFonts w:hint="eastAsia" w:ascii="宋体" w:hAnsi="宋体" w:cs="宋体"/>
                <w:b/>
                <w:bCs/>
                <w:sz w:val="24"/>
              </w:rPr>
              <w:t>序号</w:t>
            </w:r>
          </w:p>
        </w:tc>
        <w:tc>
          <w:tcPr>
            <w:tcW w:w="1146" w:type="dxa"/>
            <w:noWrap/>
            <w:vAlign w:val="center"/>
          </w:tcPr>
          <w:p>
            <w:pPr>
              <w:jc w:val="center"/>
              <w:rPr>
                <w:rFonts w:ascii="宋体" w:hAnsi="宋体" w:cs="宋体"/>
                <w:b/>
                <w:bCs/>
                <w:sz w:val="24"/>
              </w:rPr>
            </w:pPr>
            <w:r>
              <w:rPr>
                <w:rFonts w:hint="eastAsia" w:ascii="宋体" w:hAnsi="宋体" w:cs="宋体"/>
                <w:b/>
                <w:bCs/>
                <w:sz w:val="24"/>
              </w:rPr>
              <w:t>评分因素</w:t>
            </w:r>
          </w:p>
        </w:tc>
        <w:tc>
          <w:tcPr>
            <w:tcW w:w="1050" w:type="dxa"/>
            <w:noWrap/>
            <w:vAlign w:val="center"/>
          </w:tcPr>
          <w:p>
            <w:pPr>
              <w:jc w:val="center"/>
              <w:rPr>
                <w:rFonts w:ascii="宋体" w:hAnsi="宋体" w:cs="宋体"/>
                <w:b/>
                <w:bCs/>
                <w:sz w:val="24"/>
              </w:rPr>
            </w:pPr>
            <w:r>
              <w:rPr>
                <w:rFonts w:hint="eastAsia" w:ascii="宋体" w:hAnsi="宋体" w:cs="宋体"/>
                <w:b/>
                <w:bCs/>
                <w:sz w:val="24"/>
              </w:rPr>
              <w:t>权重</w:t>
            </w:r>
          </w:p>
        </w:tc>
        <w:tc>
          <w:tcPr>
            <w:tcW w:w="5795" w:type="dxa"/>
            <w:noWrap/>
            <w:vAlign w:val="center"/>
          </w:tcPr>
          <w:p>
            <w:pPr>
              <w:jc w:val="center"/>
              <w:rPr>
                <w:rFonts w:ascii="宋体" w:hAnsi="宋体" w:cs="宋体"/>
                <w:b/>
                <w:bCs/>
                <w:sz w:val="24"/>
              </w:rPr>
            </w:pPr>
            <w:r>
              <w:rPr>
                <w:rFonts w:hint="eastAsia" w:ascii="宋体" w:hAnsi="宋体" w:cs="宋体"/>
                <w:b/>
                <w:bCs/>
                <w:sz w:val="24"/>
              </w:rPr>
              <w:t>评分标准</w:t>
            </w:r>
          </w:p>
        </w:tc>
        <w:tc>
          <w:tcPr>
            <w:tcW w:w="1214" w:type="dxa"/>
            <w:noWrap/>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8" w:type="dxa"/>
            <w:noWrap/>
            <w:vAlign w:val="center"/>
          </w:tcPr>
          <w:p>
            <w:pPr>
              <w:jc w:val="center"/>
              <w:rPr>
                <w:rFonts w:ascii="宋体" w:hAnsi="宋体" w:cs="宋体"/>
                <w:sz w:val="24"/>
              </w:rPr>
            </w:pPr>
            <w:r>
              <w:rPr>
                <w:rFonts w:hint="eastAsia" w:ascii="宋体" w:hAnsi="宋体" w:cs="宋体"/>
                <w:sz w:val="24"/>
              </w:rPr>
              <w:t>1</w:t>
            </w:r>
          </w:p>
        </w:tc>
        <w:tc>
          <w:tcPr>
            <w:tcW w:w="1146" w:type="dxa"/>
            <w:noWrap/>
            <w:vAlign w:val="center"/>
          </w:tcPr>
          <w:p>
            <w:pPr>
              <w:jc w:val="center"/>
              <w:rPr>
                <w:rFonts w:ascii="宋体" w:hAnsi="宋体" w:cs="宋体"/>
                <w:sz w:val="24"/>
              </w:rPr>
            </w:pPr>
            <w:r>
              <w:rPr>
                <w:rFonts w:hint="eastAsia" w:ascii="宋体" w:hAnsi="宋体" w:cs="宋体"/>
                <w:sz w:val="24"/>
              </w:rPr>
              <w:t>价格</w:t>
            </w:r>
          </w:p>
        </w:tc>
        <w:tc>
          <w:tcPr>
            <w:tcW w:w="1050" w:type="dxa"/>
            <w:noWrap/>
            <w:vAlign w:val="center"/>
          </w:tcPr>
          <w:p>
            <w:pPr>
              <w:jc w:val="center"/>
              <w:rPr>
                <w:rFonts w:ascii="宋体" w:hAnsi="宋体" w:cs="宋体"/>
                <w:sz w:val="24"/>
              </w:rPr>
            </w:pPr>
            <w:r>
              <w:rPr>
                <w:rFonts w:ascii="宋体" w:hAnsi="宋体" w:cs="宋体"/>
                <w:sz w:val="24"/>
              </w:rPr>
              <w:t>10</w:t>
            </w:r>
            <w:r>
              <w:rPr>
                <w:rFonts w:hint="eastAsia" w:ascii="宋体" w:hAnsi="宋体" w:cs="宋体"/>
                <w:sz w:val="24"/>
              </w:rPr>
              <w:t>%</w:t>
            </w:r>
          </w:p>
        </w:tc>
        <w:tc>
          <w:tcPr>
            <w:tcW w:w="5795" w:type="dxa"/>
            <w:noWrap/>
            <w:vAlign w:val="center"/>
          </w:tcPr>
          <w:p>
            <w:pPr>
              <w:widowControl/>
              <w:rPr>
                <w:rFonts w:ascii="宋体" w:hAnsi="宋体"/>
                <w:kern w:val="0"/>
                <w:sz w:val="24"/>
              </w:rPr>
            </w:pPr>
            <w:r>
              <w:rPr>
                <w:rFonts w:hint="eastAsia" w:ascii="宋体" w:hAnsi="宋体"/>
                <w:kern w:val="0"/>
                <w:sz w:val="24"/>
              </w:rPr>
              <w:t>1.综合评分法中的价格分统一采用低价优先法计算，即满足比选文件要求且报价最低的为评审基准价，其价格分为满分。其他申请人的价格分统一按照下列公式计算：</w:t>
            </w:r>
          </w:p>
          <w:p>
            <w:pPr>
              <w:widowControl/>
              <w:jc w:val="left"/>
            </w:pPr>
            <w:r>
              <w:rPr>
                <w:rFonts w:hint="eastAsia" w:ascii="宋体" w:hAnsi="宋体"/>
                <w:kern w:val="0"/>
                <w:sz w:val="24"/>
              </w:rPr>
              <w:t>报价得分=(评标基准价／报价</w:t>
            </w:r>
            <w:r>
              <w:rPr>
                <w:rFonts w:hint="eastAsia"/>
                <w:kern w:val="0"/>
                <w:sz w:val="24"/>
              </w:rPr>
              <w:t>)</w:t>
            </w:r>
            <w:r>
              <w:rPr>
                <w:rFonts w:hint="eastAsia" w:ascii="宋体" w:hAnsi="宋体"/>
                <w:kern w:val="0"/>
                <w:sz w:val="24"/>
              </w:rPr>
              <w:t>×</w:t>
            </w:r>
            <w:r>
              <w:rPr>
                <w:rFonts w:hint="eastAsia"/>
                <w:kern w:val="0"/>
                <w:sz w:val="24"/>
              </w:rPr>
              <w:t>100</w:t>
            </w:r>
            <w:r>
              <w:rPr>
                <w:rFonts w:hint="eastAsia" w:ascii="宋体" w:hAnsi="宋体"/>
                <w:kern w:val="0"/>
                <w:sz w:val="24"/>
              </w:rPr>
              <w:t>×权重</w:t>
            </w:r>
          </w:p>
        </w:tc>
        <w:tc>
          <w:tcPr>
            <w:tcW w:w="1214" w:type="dxa"/>
            <w:noWrap/>
            <w:vAlign w:val="center"/>
          </w:tcPr>
          <w:p>
            <w:pPr>
              <w:widowControl/>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8" w:type="dxa"/>
            <w:noWrap/>
            <w:vAlign w:val="center"/>
          </w:tcPr>
          <w:p>
            <w:pPr>
              <w:jc w:val="center"/>
              <w:rPr>
                <w:rFonts w:ascii="宋体" w:hAnsi="宋体" w:cs="宋体"/>
                <w:sz w:val="24"/>
              </w:rPr>
            </w:pPr>
            <w:r>
              <w:rPr>
                <w:rFonts w:hint="eastAsia" w:ascii="宋体" w:hAnsi="宋体" w:cs="宋体"/>
                <w:sz w:val="24"/>
              </w:rPr>
              <w:t>2</w:t>
            </w:r>
          </w:p>
        </w:tc>
        <w:tc>
          <w:tcPr>
            <w:tcW w:w="1146"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律师事务所实力</w:t>
            </w:r>
          </w:p>
        </w:tc>
        <w:tc>
          <w:tcPr>
            <w:tcW w:w="1050" w:type="dxa"/>
            <w:noWrap/>
            <w:vAlign w:val="center"/>
          </w:tcPr>
          <w:p>
            <w:pPr>
              <w:widowControl/>
              <w:jc w:val="center"/>
              <w:textAlignment w:val="center"/>
              <w:rPr>
                <w:rFonts w:ascii="宋体" w:hAnsi="宋体" w:cs="宋体"/>
                <w:kern w:val="0"/>
                <w:sz w:val="24"/>
              </w:rPr>
            </w:pPr>
            <w:r>
              <w:rPr>
                <w:rFonts w:ascii="宋体" w:hAnsi="宋体" w:cs="宋体"/>
                <w:kern w:val="0"/>
                <w:sz w:val="24"/>
              </w:rPr>
              <w:t>20</w:t>
            </w:r>
            <w:r>
              <w:rPr>
                <w:rFonts w:hint="eastAsia" w:ascii="宋体" w:hAnsi="宋体" w:cs="宋体"/>
                <w:kern w:val="0"/>
                <w:sz w:val="24"/>
              </w:rPr>
              <w:t>%</w:t>
            </w:r>
          </w:p>
        </w:tc>
        <w:tc>
          <w:tcPr>
            <w:tcW w:w="5795" w:type="dxa"/>
            <w:noWrap/>
            <w:vAlign w:val="center"/>
          </w:tcPr>
          <w:p>
            <w:pPr>
              <w:widowControl/>
              <w:textAlignment w:val="center"/>
              <w:rPr>
                <w:rFonts w:ascii="宋体" w:hAnsi="宋体" w:cs="宋体"/>
                <w:sz w:val="24"/>
              </w:rPr>
            </w:pPr>
            <w:r>
              <w:rPr>
                <w:rFonts w:hint="eastAsia" w:ascii="宋体" w:hAnsi="宋体" w:cs="宋体"/>
                <w:sz w:val="24"/>
              </w:rPr>
              <w:t>比选申请人提供符合要求的律师事务所资质</w:t>
            </w:r>
          </w:p>
          <w:p>
            <w:pPr>
              <w:widowControl/>
              <w:textAlignment w:val="center"/>
              <w:rPr>
                <w:rFonts w:ascii="宋体" w:hAnsi="宋体" w:cs="宋体"/>
                <w:sz w:val="24"/>
              </w:rPr>
            </w:pPr>
            <w:r>
              <w:rPr>
                <w:rFonts w:hint="eastAsia" w:ascii="宋体" w:hAnsi="宋体" w:cs="宋体"/>
                <w:sz w:val="24"/>
              </w:rPr>
              <w:t>1、律所执业律师人数1-10人的得2分，11-20人得3分；21人以上得5分</w:t>
            </w:r>
          </w:p>
          <w:p>
            <w:pPr>
              <w:widowControl/>
              <w:textAlignment w:val="center"/>
              <w:rPr>
                <w:rFonts w:ascii="宋体" w:hAnsi="宋体" w:cs="宋体"/>
                <w:sz w:val="24"/>
              </w:rPr>
            </w:pPr>
            <w:r>
              <w:rPr>
                <w:rFonts w:hint="eastAsia" w:ascii="宋体" w:hAnsi="宋体" w:cs="宋体"/>
                <w:sz w:val="24"/>
              </w:rPr>
              <w:t>2、熟悉工程项目建设流程和法律规范，执业律师团队中，具有一级建造师得5分；具备高级工程师职称的得5分；</w:t>
            </w:r>
          </w:p>
          <w:p>
            <w:pPr>
              <w:widowControl/>
              <w:textAlignment w:val="center"/>
              <w:rPr>
                <w:rFonts w:ascii="宋体" w:hAnsi="宋体" w:cs="宋体"/>
                <w:sz w:val="24"/>
              </w:rPr>
            </w:pPr>
            <w:r>
              <w:rPr>
                <w:rFonts w:hint="eastAsia" w:ascii="宋体" w:hAnsi="宋体" w:cs="宋体"/>
                <w:sz w:val="24"/>
              </w:rPr>
              <w:t>3、提供近五年来法律（诉讼/非诉）服务业绩1-10个的得2分，11个以上的得5分。</w:t>
            </w:r>
          </w:p>
          <w:p>
            <w:pPr>
              <w:pStyle w:val="2"/>
              <w:jc w:val="left"/>
              <w:rPr>
                <w:rFonts w:ascii="Calibri" w:hAnsi="Calibri"/>
              </w:rPr>
            </w:pPr>
            <w:r>
              <w:rPr>
                <w:rFonts w:hint="eastAsia" w:ascii="宋体" w:hAnsi="宋体" w:cs="宋体"/>
                <w:sz w:val="24"/>
              </w:rPr>
              <w:t>本项满分为</w:t>
            </w:r>
            <w:r>
              <w:rPr>
                <w:rFonts w:ascii="宋体" w:hAnsi="宋体" w:cs="宋体"/>
                <w:sz w:val="24"/>
              </w:rPr>
              <w:t>20</w:t>
            </w:r>
            <w:r>
              <w:rPr>
                <w:rFonts w:hint="eastAsia" w:ascii="宋体" w:hAnsi="宋体" w:cs="宋体"/>
                <w:sz w:val="24"/>
              </w:rPr>
              <w:t>分。</w:t>
            </w:r>
          </w:p>
        </w:tc>
        <w:tc>
          <w:tcPr>
            <w:tcW w:w="1214" w:type="dxa"/>
            <w:noWrap/>
            <w:vAlign w:val="center"/>
          </w:tcPr>
          <w:p>
            <w:pPr>
              <w:widowControl/>
              <w:ind w:firstLine="480" w:firstLineChars="200"/>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38" w:type="dxa"/>
            <w:noWrap/>
            <w:vAlign w:val="center"/>
          </w:tcPr>
          <w:p>
            <w:pPr>
              <w:jc w:val="center"/>
              <w:rPr>
                <w:rFonts w:ascii="宋体" w:hAnsi="宋体" w:cs="宋体"/>
                <w:sz w:val="24"/>
              </w:rPr>
            </w:pPr>
            <w:r>
              <w:rPr>
                <w:rFonts w:hint="eastAsia" w:ascii="宋体" w:hAnsi="宋体" w:cs="宋体"/>
                <w:sz w:val="24"/>
              </w:rPr>
              <w:t>3</w:t>
            </w:r>
          </w:p>
        </w:tc>
        <w:tc>
          <w:tcPr>
            <w:tcW w:w="1146"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开发项目特性分析及建议</w:t>
            </w:r>
          </w:p>
        </w:tc>
        <w:tc>
          <w:tcPr>
            <w:tcW w:w="1050" w:type="dxa"/>
            <w:noWrap/>
            <w:vAlign w:val="center"/>
          </w:tcPr>
          <w:p>
            <w:pPr>
              <w:jc w:val="center"/>
              <w:textAlignment w:val="center"/>
              <w:rPr>
                <w:rFonts w:ascii="宋体" w:hAnsi="宋体" w:cs="宋体"/>
                <w:kern w:val="0"/>
                <w:sz w:val="24"/>
              </w:rPr>
            </w:pPr>
            <w:r>
              <w:rPr>
                <w:rFonts w:ascii="宋体" w:hAnsi="宋体" w:cs="宋体"/>
                <w:kern w:val="0"/>
                <w:sz w:val="24"/>
              </w:rPr>
              <w:t>10</w:t>
            </w:r>
            <w:r>
              <w:rPr>
                <w:rFonts w:hint="eastAsia" w:ascii="宋体" w:hAnsi="宋体" w:cs="宋体"/>
                <w:kern w:val="0"/>
                <w:sz w:val="24"/>
              </w:rPr>
              <w:t>%</w:t>
            </w:r>
          </w:p>
        </w:tc>
        <w:tc>
          <w:tcPr>
            <w:tcW w:w="5795" w:type="dxa"/>
            <w:noWrap/>
            <w:vAlign w:val="center"/>
          </w:tcPr>
          <w:p>
            <w:pPr>
              <w:widowControl/>
              <w:textAlignment w:val="center"/>
            </w:pPr>
            <w:r>
              <w:rPr>
                <w:rFonts w:hint="eastAsia" w:ascii="宋体" w:hAnsi="宋体" w:cs="宋体"/>
                <w:sz w:val="24"/>
              </w:rPr>
              <w:t xml:space="preserve"> 根据背景项目材料分析项目合作开发项目特性。特性分析全面、重点突出，能最大程度反映项目开发特征和风险的得10分。每有一项未涉及或不合理扣2分；直至本项分值扣完为止。</w:t>
            </w:r>
          </w:p>
        </w:tc>
        <w:tc>
          <w:tcPr>
            <w:tcW w:w="1214" w:type="dxa"/>
            <w:noWrap/>
            <w:vAlign w:val="center"/>
          </w:tcPr>
          <w:p>
            <w:pPr>
              <w:widowControl/>
              <w:ind w:firstLine="480" w:firstLineChars="200"/>
              <w:textAlignment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638" w:type="dxa"/>
            <w:noWrap/>
            <w:vAlign w:val="center"/>
          </w:tcPr>
          <w:p>
            <w:pPr>
              <w:jc w:val="center"/>
              <w:rPr>
                <w:rFonts w:ascii="宋体" w:hAnsi="宋体" w:cs="宋体"/>
                <w:sz w:val="24"/>
              </w:rPr>
            </w:pPr>
            <w:r>
              <w:rPr>
                <w:rFonts w:hint="eastAsia" w:ascii="宋体" w:hAnsi="宋体" w:cs="宋体"/>
                <w:sz w:val="24"/>
              </w:rPr>
              <w:t>4</w:t>
            </w:r>
          </w:p>
        </w:tc>
        <w:tc>
          <w:tcPr>
            <w:tcW w:w="1146" w:type="dxa"/>
            <w:noWrap/>
            <w:vAlign w:val="center"/>
          </w:tcPr>
          <w:p>
            <w:pPr>
              <w:widowControl/>
              <w:jc w:val="center"/>
              <w:textAlignment w:val="center"/>
              <w:rPr>
                <w:rFonts w:ascii="宋体" w:hAnsi="宋体" w:cs="宋体"/>
                <w:kern w:val="0"/>
                <w:sz w:val="24"/>
              </w:rPr>
            </w:pPr>
            <w:r>
              <w:rPr>
                <w:rFonts w:hint="eastAsia" w:ascii="宋体" w:hAnsi="宋体" w:cs="宋体"/>
                <w:kern w:val="0"/>
                <w:sz w:val="24"/>
              </w:rPr>
              <w:t>背景项目合作开发方案方案</w:t>
            </w:r>
          </w:p>
        </w:tc>
        <w:tc>
          <w:tcPr>
            <w:tcW w:w="1050" w:type="dxa"/>
            <w:noWrap/>
            <w:vAlign w:val="center"/>
          </w:tcPr>
          <w:p>
            <w:pPr>
              <w:jc w:val="center"/>
              <w:textAlignment w:val="center"/>
              <w:rPr>
                <w:rFonts w:ascii="宋体" w:hAnsi="宋体" w:cs="宋体"/>
                <w:kern w:val="0"/>
                <w:sz w:val="24"/>
              </w:rPr>
            </w:pPr>
            <w:r>
              <w:rPr>
                <w:rFonts w:hint="eastAsia" w:ascii="宋体" w:hAnsi="宋体" w:cs="宋体"/>
                <w:kern w:val="0"/>
                <w:sz w:val="24"/>
              </w:rPr>
              <w:t>60%</w:t>
            </w:r>
          </w:p>
        </w:tc>
        <w:tc>
          <w:tcPr>
            <w:tcW w:w="5795" w:type="dxa"/>
            <w:noWrap/>
            <w:vAlign w:val="center"/>
          </w:tcPr>
          <w:p>
            <w:pPr>
              <w:widowControl/>
              <w:textAlignment w:val="center"/>
              <w:rPr>
                <w:rFonts w:ascii="宋体" w:hAnsi="宋体" w:cs="宋体"/>
                <w:sz w:val="24"/>
              </w:rPr>
            </w:pPr>
            <w:r>
              <w:rPr>
                <w:rFonts w:hint="eastAsia" w:ascii="宋体" w:hAnsi="宋体" w:cs="宋体"/>
                <w:sz w:val="24"/>
              </w:rPr>
              <w:t>根据背景项目材料，结合项目特性分析，编制项目合作开发协议。</w:t>
            </w:r>
          </w:p>
          <w:p>
            <w:pPr>
              <w:pStyle w:val="2"/>
              <w:ind w:firstLine="240" w:firstLineChars="100"/>
              <w:rPr>
                <w:rFonts w:ascii="宋体" w:hAnsi="宋体" w:cs="宋体"/>
                <w:sz w:val="24"/>
              </w:rPr>
            </w:pPr>
            <w:r>
              <w:rPr>
                <w:rFonts w:hint="eastAsia" w:ascii="宋体" w:hAnsi="宋体" w:cs="宋体"/>
                <w:sz w:val="24"/>
              </w:rPr>
              <w:t>1.协议条款齐全、完整可行，合作中A公司承担风险小、能实现收取固定收益，同时符合相关法律规范要求得的，得46-60分；</w:t>
            </w:r>
          </w:p>
          <w:p>
            <w:pPr>
              <w:pStyle w:val="2"/>
              <w:rPr>
                <w:rFonts w:ascii="宋体" w:hAnsi="宋体" w:cs="宋体"/>
                <w:sz w:val="24"/>
              </w:rPr>
            </w:pPr>
            <w:r>
              <w:rPr>
                <w:rFonts w:hint="eastAsia" w:ascii="宋体" w:hAnsi="宋体" w:cs="宋体"/>
                <w:sz w:val="24"/>
              </w:rPr>
              <w:t>2. 项目合作开发协议条款较完善，可行性较好，无明显违反相关法律规定的得30-45分；</w:t>
            </w:r>
          </w:p>
          <w:p>
            <w:pPr>
              <w:pStyle w:val="2"/>
              <w:rPr>
                <w:rFonts w:ascii="宋体" w:hAnsi="宋体" w:cs="宋体"/>
                <w:sz w:val="24"/>
              </w:rPr>
            </w:pPr>
            <w:r>
              <w:rPr>
                <w:rFonts w:hint="eastAsia" w:ascii="宋体" w:hAnsi="宋体" w:cs="宋体"/>
                <w:sz w:val="24"/>
              </w:rPr>
              <w:t>3. 项目合作开发协议条款完整性与可行性一般，有违反相关法律规定的得10-29分。</w:t>
            </w:r>
          </w:p>
        </w:tc>
        <w:tc>
          <w:tcPr>
            <w:tcW w:w="1214" w:type="dxa"/>
            <w:noWrap/>
            <w:vAlign w:val="center"/>
          </w:tcPr>
          <w:p>
            <w:pPr>
              <w:widowControl/>
              <w:ind w:firstLine="480" w:firstLineChars="200"/>
              <w:textAlignment w:val="center"/>
              <w:rPr>
                <w:rFonts w:ascii="宋体" w:hAnsi="宋体" w:cs="宋体"/>
                <w:sz w:val="24"/>
              </w:rPr>
            </w:pPr>
          </w:p>
        </w:tc>
      </w:tr>
    </w:tbl>
    <w:p>
      <w:bookmarkStart w:id="247" w:name="_Toc27132"/>
      <w:bookmarkStart w:id="248" w:name="_Toc217446060"/>
      <w:r>
        <w:rPr>
          <w:rFonts w:hint="eastAsia"/>
        </w:rPr>
        <w:t>注：1）评审总得分=A1+A2+……+An。</w:t>
      </w:r>
    </w:p>
    <w:p>
      <w:pPr>
        <w:ind w:firstLine="420" w:firstLineChars="200"/>
      </w:pPr>
      <w:r>
        <w:rPr>
          <w:rFonts w:hint="eastAsia"/>
        </w:rPr>
        <w:t>2）评分的取值按四舍五入法，保留小数点后两位。</w:t>
      </w:r>
    </w:p>
    <w:p>
      <w:pPr>
        <w:pStyle w:val="4"/>
        <w:rPr>
          <w:rFonts w:ascii="宋体" w:hAnsi="宋体" w:eastAsia="宋体"/>
          <w:sz w:val="24"/>
          <w:szCs w:val="24"/>
        </w:rPr>
      </w:pPr>
      <w:bookmarkStart w:id="249" w:name="_Toc31952"/>
      <w:r>
        <w:rPr>
          <w:rFonts w:hint="eastAsia" w:ascii="宋体" w:hAnsi="宋体" w:eastAsia="宋体"/>
          <w:sz w:val="24"/>
          <w:szCs w:val="24"/>
        </w:rPr>
        <w:t>6. 废  标</w:t>
      </w:r>
      <w:bookmarkEnd w:id="247"/>
      <w:bookmarkEnd w:id="249"/>
    </w:p>
    <w:p>
      <w:pPr>
        <w:spacing w:line="400" w:lineRule="exact"/>
        <w:ind w:firstLine="480" w:firstLineChars="200"/>
        <w:rPr>
          <w:rFonts w:ascii="宋体" w:hAnsi="宋体"/>
          <w:sz w:val="24"/>
        </w:rPr>
      </w:pPr>
      <w:r>
        <w:rPr>
          <w:rFonts w:hint="eastAsia" w:ascii="宋体" w:hAnsi="宋体"/>
          <w:sz w:val="24"/>
        </w:rPr>
        <w:t>本次采购活动中，出现下列情形之一的，予以废标：</w:t>
      </w:r>
    </w:p>
    <w:p>
      <w:pPr>
        <w:spacing w:line="400" w:lineRule="exact"/>
        <w:ind w:firstLine="480" w:firstLineChars="200"/>
        <w:rPr>
          <w:rFonts w:ascii="宋体" w:hAnsi="宋体"/>
          <w:sz w:val="24"/>
        </w:rPr>
      </w:pPr>
      <w:r>
        <w:rPr>
          <w:rFonts w:hint="eastAsia" w:ascii="宋体" w:hAnsi="宋体"/>
          <w:sz w:val="24"/>
        </w:rPr>
        <w:t>（1）通过资格性审查的比选申请人不足三家或对比选文件作实质响应的比选申请人不足三家的；</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报价超过最高限价的；</w:t>
      </w:r>
    </w:p>
    <w:p>
      <w:pPr>
        <w:spacing w:line="400" w:lineRule="exact"/>
        <w:ind w:firstLine="480" w:firstLineChars="200"/>
        <w:rPr>
          <w:rFonts w:ascii="宋体" w:hAnsi="宋体"/>
          <w:sz w:val="24"/>
        </w:rPr>
      </w:pPr>
      <w:r>
        <w:rPr>
          <w:rFonts w:hint="eastAsia" w:ascii="宋体" w:hAnsi="宋体"/>
          <w:sz w:val="24"/>
        </w:rPr>
        <w:t>（3）评审委员会认为申请人报价明显低于其他</w:t>
      </w:r>
      <w:r>
        <w:rPr>
          <w:rFonts w:hint="eastAsia" w:cs="宋体"/>
          <w:bCs/>
          <w:sz w:val="24"/>
        </w:rPr>
        <w:t>明显低于其他通过符合性审查申请人的报价，评审委员会要求其提供报价不低于成本的证明文件和说明，申请人不提供或评审委员会不接受证明材料和说明中所陈述的理由的；</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出现影响采购公正的违法、违规行为的；</w:t>
      </w:r>
    </w:p>
    <w:p>
      <w:pPr>
        <w:spacing w:line="400" w:lineRule="exact"/>
        <w:ind w:firstLine="480" w:firstLineChars="200"/>
        <w:rPr>
          <w:rFonts w:ascii="宋体" w:hAnsi="宋体"/>
          <w:sz w:val="24"/>
        </w:rPr>
      </w:pPr>
      <w:r>
        <w:rPr>
          <w:rFonts w:hint="eastAsia" w:ascii="宋体" w:hAnsi="宋体"/>
          <w:sz w:val="24"/>
        </w:rPr>
        <w:t>（5）因重大变故，采购任务取消的。</w:t>
      </w:r>
    </w:p>
    <w:p>
      <w:pPr>
        <w:pStyle w:val="2"/>
        <w:ind w:firstLine="480" w:firstLineChars="200"/>
        <w:rPr>
          <w:rFonts w:ascii="宋体" w:hAnsi="宋体"/>
          <w:sz w:val="24"/>
        </w:rPr>
      </w:pPr>
      <w:r>
        <w:rPr>
          <w:rFonts w:hint="eastAsia" w:ascii="宋体" w:hAnsi="宋体"/>
          <w:sz w:val="24"/>
        </w:rPr>
        <w:t>废标后，比选代理机构应在攀枝花市国有投资（集团）有限责任公司上公告，并公告废标的详细理由。</w:t>
      </w:r>
    </w:p>
    <w:bookmarkEnd w:id="248"/>
    <w:p>
      <w:pPr>
        <w:pStyle w:val="4"/>
        <w:spacing w:line="400" w:lineRule="exact"/>
        <w:rPr>
          <w:rFonts w:ascii="宋体" w:hAnsi="宋体" w:eastAsia="宋体"/>
          <w:sz w:val="24"/>
          <w:szCs w:val="24"/>
        </w:rPr>
      </w:pPr>
      <w:bookmarkStart w:id="250" w:name="_Toc414979558"/>
      <w:bookmarkStart w:id="251" w:name="_Toc251"/>
      <w:bookmarkStart w:id="252" w:name="_Toc25188"/>
      <w:r>
        <w:rPr>
          <w:rFonts w:hint="eastAsia" w:ascii="宋体" w:hAnsi="宋体" w:eastAsia="宋体"/>
          <w:sz w:val="24"/>
          <w:szCs w:val="24"/>
        </w:rPr>
        <w:t>7</w:t>
      </w:r>
      <w:r>
        <w:rPr>
          <w:rFonts w:ascii="宋体" w:hAnsi="宋体" w:eastAsia="宋体"/>
          <w:sz w:val="24"/>
          <w:szCs w:val="24"/>
        </w:rPr>
        <w:t>. 定标</w:t>
      </w:r>
      <w:bookmarkEnd w:id="250"/>
      <w:bookmarkEnd w:id="251"/>
      <w:bookmarkEnd w:id="252"/>
      <w:bookmarkStart w:id="253" w:name="_Toc217446061"/>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.1. 定标原则</w:t>
      </w:r>
      <w:bookmarkEnd w:id="253"/>
      <w:r>
        <w:rPr>
          <w:rFonts w:ascii="宋体" w:hAnsi="宋体"/>
          <w:sz w:val="24"/>
        </w:rPr>
        <w:t>：本项目根据</w:t>
      </w:r>
      <w:r>
        <w:rPr>
          <w:rFonts w:hint="eastAsia" w:ascii="宋体" w:hAnsi="宋体"/>
          <w:sz w:val="24"/>
        </w:rPr>
        <w:t>评审小组</w:t>
      </w:r>
      <w:r>
        <w:rPr>
          <w:rFonts w:ascii="宋体" w:hAnsi="宋体"/>
          <w:sz w:val="24"/>
        </w:rPr>
        <w:t>推荐的</w:t>
      </w:r>
      <w:r>
        <w:rPr>
          <w:rFonts w:hint="eastAsia" w:ascii="宋体" w:hAnsi="宋体"/>
          <w:sz w:val="24"/>
        </w:rPr>
        <w:t>成交</w:t>
      </w:r>
      <w:r>
        <w:rPr>
          <w:rFonts w:ascii="宋体" w:hAnsi="宋体"/>
          <w:sz w:val="24"/>
        </w:rPr>
        <w:t>候选人名单，按顺序确定</w:t>
      </w:r>
      <w:r>
        <w:rPr>
          <w:rFonts w:hint="eastAsia" w:ascii="宋体" w:hAnsi="宋体"/>
          <w:sz w:val="24"/>
        </w:rPr>
        <w:t>成交</w:t>
      </w:r>
      <w:r>
        <w:rPr>
          <w:rFonts w:ascii="宋体" w:hAnsi="宋体"/>
          <w:sz w:val="24"/>
        </w:rPr>
        <w:t>人。</w:t>
      </w:r>
    </w:p>
    <w:p>
      <w:pPr>
        <w:spacing w:line="400" w:lineRule="exact"/>
        <w:ind w:firstLine="480" w:firstLineChars="200"/>
        <w:rPr>
          <w:rFonts w:ascii="宋体" w:hAnsi="宋体"/>
          <w:sz w:val="24"/>
        </w:rPr>
      </w:pPr>
      <w:bookmarkStart w:id="254" w:name="_Toc217446062"/>
      <w:r>
        <w:rPr>
          <w:rFonts w:hint="eastAsia" w:ascii="宋体" w:hAnsi="宋体"/>
          <w:sz w:val="24"/>
        </w:rPr>
        <w:t>7</w:t>
      </w:r>
      <w:r>
        <w:rPr>
          <w:rFonts w:ascii="宋体" w:hAnsi="宋体"/>
          <w:sz w:val="24"/>
        </w:rPr>
        <w:t>.2. 定标程序</w:t>
      </w:r>
      <w:bookmarkEnd w:id="254"/>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 xml:space="preserve">.2.1 </w:t>
      </w:r>
      <w:r>
        <w:rPr>
          <w:rFonts w:hint="eastAsia" w:ascii="宋体" w:hAnsi="宋体"/>
          <w:sz w:val="24"/>
        </w:rPr>
        <w:t>评审小组</w:t>
      </w:r>
      <w:r>
        <w:rPr>
          <w:rFonts w:ascii="宋体" w:hAnsi="宋体"/>
          <w:sz w:val="24"/>
        </w:rPr>
        <w:t>将</w:t>
      </w:r>
      <w:r>
        <w:rPr>
          <w:rFonts w:hint="eastAsia" w:ascii="宋体" w:hAnsi="宋体"/>
          <w:sz w:val="24"/>
        </w:rPr>
        <w:t>评审</w:t>
      </w:r>
      <w:r>
        <w:rPr>
          <w:rFonts w:ascii="宋体" w:hAnsi="宋体"/>
          <w:sz w:val="24"/>
        </w:rPr>
        <w:t>情况写出书面报告，推荐</w:t>
      </w:r>
      <w:r>
        <w:rPr>
          <w:rFonts w:hint="eastAsia" w:ascii="宋体" w:hAnsi="宋体"/>
          <w:sz w:val="24"/>
        </w:rPr>
        <w:t>成交</w:t>
      </w:r>
      <w:r>
        <w:rPr>
          <w:rFonts w:ascii="宋体" w:hAnsi="宋体"/>
          <w:sz w:val="24"/>
        </w:rPr>
        <w:t>候选人，并按照综合得分高低标明排列顺序。综合得分相同的，按</w:t>
      </w:r>
      <w:r>
        <w:rPr>
          <w:rFonts w:hint="eastAsia" w:ascii="宋体" w:hAnsi="宋体"/>
          <w:sz w:val="24"/>
        </w:rPr>
        <w:t>比选</w:t>
      </w:r>
      <w:r>
        <w:rPr>
          <w:rFonts w:ascii="宋体" w:hAnsi="宋体"/>
          <w:sz w:val="24"/>
        </w:rPr>
        <w:t>报价由低到高顺序排列。得分且</w:t>
      </w:r>
      <w:r>
        <w:rPr>
          <w:rFonts w:hint="eastAsia" w:ascii="宋体" w:hAnsi="宋体"/>
          <w:sz w:val="24"/>
        </w:rPr>
        <w:t>比选</w:t>
      </w:r>
      <w:r>
        <w:rPr>
          <w:rFonts w:ascii="宋体" w:hAnsi="宋体"/>
          <w:sz w:val="24"/>
        </w:rPr>
        <w:t>报价相同的，按</w:t>
      </w:r>
      <w:r>
        <w:rPr>
          <w:rFonts w:hint="eastAsia" w:ascii="宋体" w:hAnsi="宋体"/>
          <w:sz w:val="24"/>
        </w:rPr>
        <w:t>技术</w:t>
      </w:r>
      <w:r>
        <w:rPr>
          <w:rFonts w:ascii="宋体" w:hAnsi="宋体"/>
          <w:sz w:val="24"/>
        </w:rPr>
        <w:t>指标优劣顺序排列。</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 xml:space="preserve">.2.2 </w:t>
      </w:r>
      <w:r>
        <w:rPr>
          <w:rFonts w:hint="eastAsia" w:ascii="宋体" w:hAnsi="宋体"/>
          <w:sz w:val="24"/>
        </w:rPr>
        <w:t>比选代理机构</w:t>
      </w:r>
      <w:r>
        <w:rPr>
          <w:rFonts w:ascii="宋体" w:hAnsi="宋体"/>
          <w:sz w:val="24"/>
        </w:rPr>
        <w:t>在</w:t>
      </w:r>
      <w:r>
        <w:rPr>
          <w:rFonts w:hint="eastAsia" w:ascii="宋体" w:hAnsi="宋体"/>
          <w:sz w:val="24"/>
        </w:rPr>
        <w:t>评审</w:t>
      </w:r>
      <w:r>
        <w:rPr>
          <w:rFonts w:ascii="宋体" w:hAnsi="宋体"/>
          <w:sz w:val="24"/>
        </w:rPr>
        <w:t>结束后五个工作日内将</w:t>
      </w:r>
      <w:r>
        <w:rPr>
          <w:rFonts w:hint="eastAsia" w:ascii="宋体" w:hAnsi="宋体"/>
          <w:sz w:val="24"/>
        </w:rPr>
        <w:t>比选</w:t>
      </w:r>
      <w:r>
        <w:rPr>
          <w:rFonts w:ascii="宋体" w:hAnsi="宋体"/>
          <w:sz w:val="24"/>
        </w:rPr>
        <w:t>报告送采购人。</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.2.3 采购人在收到</w:t>
      </w:r>
      <w:r>
        <w:rPr>
          <w:rFonts w:hint="eastAsia" w:ascii="宋体" w:hAnsi="宋体"/>
          <w:sz w:val="24"/>
        </w:rPr>
        <w:t>比选</w:t>
      </w:r>
      <w:r>
        <w:rPr>
          <w:rFonts w:ascii="宋体" w:hAnsi="宋体"/>
          <w:sz w:val="24"/>
        </w:rPr>
        <w:t>报告后五个工作日内，按照</w:t>
      </w:r>
      <w:r>
        <w:rPr>
          <w:rFonts w:hint="eastAsia" w:ascii="宋体" w:hAnsi="宋体"/>
          <w:sz w:val="24"/>
        </w:rPr>
        <w:t>比选</w:t>
      </w:r>
      <w:r>
        <w:rPr>
          <w:rFonts w:ascii="宋体" w:hAnsi="宋体"/>
          <w:sz w:val="24"/>
        </w:rPr>
        <w:t>报告中推荐的</w:t>
      </w:r>
      <w:r>
        <w:rPr>
          <w:rFonts w:hint="eastAsia" w:ascii="宋体" w:hAnsi="宋体"/>
          <w:sz w:val="24"/>
        </w:rPr>
        <w:t>成交</w:t>
      </w:r>
      <w:r>
        <w:rPr>
          <w:rFonts w:ascii="宋体" w:hAnsi="宋体"/>
          <w:sz w:val="24"/>
        </w:rPr>
        <w:t>候选人顺序确定</w:t>
      </w:r>
      <w:r>
        <w:rPr>
          <w:rFonts w:hint="eastAsia" w:ascii="宋体" w:hAnsi="宋体"/>
          <w:sz w:val="24"/>
        </w:rPr>
        <w:t>成交</w:t>
      </w:r>
      <w:r>
        <w:rPr>
          <w:rFonts w:ascii="宋体" w:hAnsi="宋体"/>
          <w:sz w:val="24"/>
        </w:rPr>
        <w:t>人。</w:t>
      </w:r>
    </w:p>
    <w:p>
      <w:pPr>
        <w:spacing w:line="400" w:lineRule="exact"/>
        <w:ind w:firstLine="480" w:firstLineChars="200"/>
        <w:rPr>
          <w:rFonts w:ascii="宋体" w:hAnsi="宋体"/>
          <w:sz w:val="24"/>
        </w:rPr>
      </w:pPr>
      <w:r>
        <w:rPr>
          <w:rFonts w:ascii="宋体" w:hAnsi="宋体"/>
          <w:sz w:val="24"/>
        </w:rPr>
        <w:t>注意，采购人按照推荐的</w:t>
      </w:r>
      <w:r>
        <w:rPr>
          <w:rFonts w:hint="eastAsia" w:ascii="宋体" w:hAnsi="宋体"/>
          <w:sz w:val="24"/>
        </w:rPr>
        <w:t>成交</w:t>
      </w:r>
      <w:r>
        <w:rPr>
          <w:rFonts w:ascii="宋体" w:hAnsi="宋体"/>
          <w:sz w:val="24"/>
        </w:rPr>
        <w:t>候选人顺序确定</w:t>
      </w:r>
      <w:r>
        <w:rPr>
          <w:rFonts w:hint="eastAsia" w:ascii="宋体" w:hAnsi="宋体"/>
          <w:sz w:val="24"/>
        </w:rPr>
        <w:t>成交</w:t>
      </w:r>
      <w:r>
        <w:rPr>
          <w:rFonts w:ascii="宋体" w:hAnsi="宋体"/>
          <w:sz w:val="24"/>
        </w:rPr>
        <w:t>人，不能认为采购人只能确定第一</w:t>
      </w:r>
      <w:r>
        <w:rPr>
          <w:rFonts w:hint="eastAsia" w:ascii="宋体" w:hAnsi="宋体"/>
          <w:sz w:val="24"/>
        </w:rPr>
        <w:t>成交</w:t>
      </w:r>
      <w:r>
        <w:rPr>
          <w:rFonts w:ascii="宋体" w:hAnsi="宋体"/>
          <w:sz w:val="24"/>
        </w:rPr>
        <w:t>候选人为</w:t>
      </w:r>
      <w:r>
        <w:rPr>
          <w:rFonts w:hint="eastAsia" w:ascii="宋体" w:hAnsi="宋体"/>
          <w:sz w:val="24"/>
        </w:rPr>
        <w:t>成交</w:t>
      </w:r>
      <w:r>
        <w:rPr>
          <w:rFonts w:ascii="宋体" w:hAnsi="宋体"/>
          <w:sz w:val="24"/>
        </w:rPr>
        <w:t>人，采购人有正当理由的，可以确定后一顺序</w:t>
      </w:r>
      <w:r>
        <w:rPr>
          <w:rFonts w:hint="eastAsia" w:ascii="宋体" w:hAnsi="宋体"/>
          <w:sz w:val="24"/>
        </w:rPr>
        <w:t>成交</w:t>
      </w:r>
      <w:r>
        <w:rPr>
          <w:rFonts w:ascii="宋体" w:hAnsi="宋体"/>
          <w:sz w:val="24"/>
        </w:rPr>
        <w:t>候选人为</w:t>
      </w:r>
      <w:r>
        <w:rPr>
          <w:rFonts w:hint="eastAsia" w:ascii="宋体" w:hAnsi="宋体"/>
          <w:sz w:val="24"/>
        </w:rPr>
        <w:t>成交</w:t>
      </w:r>
      <w:r>
        <w:rPr>
          <w:rFonts w:ascii="宋体" w:hAnsi="宋体"/>
          <w:sz w:val="24"/>
        </w:rPr>
        <w:t>人，依次类推。</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.2.4 根据采购人确定的</w:t>
      </w:r>
      <w:r>
        <w:rPr>
          <w:rFonts w:hint="eastAsia" w:ascii="宋体" w:hAnsi="宋体"/>
          <w:sz w:val="24"/>
        </w:rPr>
        <w:t>成交</w:t>
      </w:r>
      <w:r>
        <w:rPr>
          <w:rFonts w:ascii="宋体" w:hAnsi="宋体"/>
          <w:sz w:val="24"/>
        </w:rPr>
        <w:t>人，</w:t>
      </w:r>
      <w:r>
        <w:rPr>
          <w:rFonts w:hint="eastAsia" w:ascii="宋体" w:hAnsi="宋体"/>
          <w:sz w:val="24"/>
        </w:rPr>
        <w:t>比选代理</w:t>
      </w:r>
      <w:r>
        <w:rPr>
          <w:rFonts w:ascii="宋体" w:hAnsi="宋体"/>
          <w:sz w:val="24"/>
        </w:rPr>
        <w:t>机构在</w:t>
      </w:r>
      <w:r>
        <w:rPr>
          <w:rFonts w:hint="eastAsia" w:ascii="宋体" w:hAnsi="宋体"/>
          <w:sz w:val="24"/>
        </w:rPr>
        <w:t>攀枝花市国有投资（集团）有限责任公司</w:t>
      </w:r>
      <w:r>
        <w:rPr>
          <w:rFonts w:ascii="宋体" w:hAnsi="宋体"/>
          <w:sz w:val="24"/>
        </w:rPr>
        <w:t>发布</w:t>
      </w:r>
      <w:r>
        <w:rPr>
          <w:rFonts w:hint="eastAsia" w:ascii="宋体" w:hAnsi="宋体"/>
          <w:sz w:val="24"/>
        </w:rPr>
        <w:t>成交</w:t>
      </w:r>
      <w:r>
        <w:rPr>
          <w:rFonts w:ascii="宋体" w:hAnsi="宋体"/>
          <w:sz w:val="24"/>
        </w:rPr>
        <w:t>公告，同时向</w:t>
      </w:r>
      <w:r>
        <w:rPr>
          <w:rFonts w:hint="eastAsia" w:ascii="宋体" w:hAnsi="宋体"/>
          <w:sz w:val="24"/>
        </w:rPr>
        <w:t>成交</w:t>
      </w:r>
      <w:r>
        <w:rPr>
          <w:rFonts w:ascii="宋体" w:hAnsi="宋体"/>
          <w:sz w:val="24"/>
        </w:rPr>
        <w:t>人发出</w:t>
      </w:r>
      <w:r>
        <w:rPr>
          <w:rFonts w:hint="eastAsia" w:ascii="宋体" w:hAnsi="宋体"/>
          <w:sz w:val="24"/>
        </w:rPr>
        <w:t>成交</w:t>
      </w:r>
      <w:r>
        <w:rPr>
          <w:rFonts w:ascii="宋体" w:hAnsi="宋体"/>
          <w:sz w:val="24"/>
        </w:rPr>
        <w:t>通知书。</w:t>
      </w:r>
    </w:p>
    <w:p>
      <w:pPr>
        <w:spacing w:line="400" w:lineRule="exact"/>
        <w:ind w:firstLine="480" w:firstLineChars="200"/>
        <w:rPr>
          <w:rFonts w:ascii="宋体" w:hAnsi="宋体"/>
          <w:sz w:val="24"/>
        </w:rPr>
      </w:pPr>
      <w:r>
        <w:rPr>
          <w:rFonts w:hint="eastAsia" w:ascii="宋体" w:hAnsi="宋体"/>
          <w:sz w:val="24"/>
        </w:rPr>
        <w:t>7</w:t>
      </w:r>
      <w:r>
        <w:rPr>
          <w:rFonts w:ascii="宋体" w:hAnsi="宋体"/>
          <w:sz w:val="24"/>
        </w:rPr>
        <w:t>.2.5</w:t>
      </w:r>
      <w:r>
        <w:rPr>
          <w:rFonts w:hint="eastAsia" w:ascii="宋体" w:hAnsi="宋体"/>
          <w:sz w:val="24"/>
        </w:rPr>
        <w:t>比选</w:t>
      </w:r>
      <w:r>
        <w:rPr>
          <w:rFonts w:ascii="宋体" w:hAnsi="宋体"/>
          <w:sz w:val="24"/>
        </w:rPr>
        <w:t>采购单位不解释</w:t>
      </w:r>
      <w:r>
        <w:rPr>
          <w:rFonts w:hint="eastAsia" w:ascii="宋体" w:hAnsi="宋体"/>
          <w:sz w:val="24"/>
        </w:rPr>
        <w:t>成交</w:t>
      </w:r>
      <w:r>
        <w:rPr>
          <w:rFonts w:ascii="宋体" w:hAnsi="宋体"/>
          <w:sz w:val="24"/>
        </w:rPr>
        <w:t>或</w:t>
      </w:r>
      <w:r>
        <w:rPr>
          <w:rFonts w:hint="eastAsia" w:ascii="宋体" w:hAnsi="宋体"/>
          <w:sz w:val="24"/>
        </w:rPr>
        <w:t>未成交</w:t>
      </w:r>
      <w:r>
        <w:rPr>
          <w:rFonts w:ascii="宋体" w:hAnsi="宋体"/>
          <w:sz w:val="24"/>
        </w:rPr>
        <w:t>原因，不退回</w:t>
      </w:r>
      <w:r>
        <w:rPr>
          <w:rFonts w:hint="eastAsia" w:ascii="宋体" w:hAnsi="宋体"/>
          <w:sz w:val="24"/>
        </w:rPr>
        <w:t>比选申请</w:t>
      </w:r>
      <w:r>
        <w:rPr>
          <w:rFonts w:ascii="宋体" w:hAnsi="宋体"/>
          <w:sz w:val="24"/>
        </w:rPr>
        <w:t>文件和其他</w:t>
      </w:r>
      <w:r>
        <w:rPr>
          <w:rFonts w:hint="eastAsia" w:ascii="宋体" w:hAnsi="宋体"/>
          <w:sz w:val="24"/>
        </w:rPr>
        <w:t>比选申请</w:t>
      </w:r>
      <w:r>
        <w:rPr>
          <w:rFonts w:ascii="宋体" w:hAnsi="宋体"/>
          <w:sz w:val="24"/>
        </w:rPr>
        <w:t>资料。</w:t>
      </w:r>
    </w:p>
    <w:bookmarkEnd w:id="236"/>
    <w:p>
      <w:pPr>
        <w:pStyle w:val="3"/>
        <w:spacing w:line="276" w:lineRule="auto"/>
        <w:jc w:val="center"/>
        <w:rPr>
          <w:rFonts w:ascii="黑体" w:hAnsi="黑体" w:eastAsia="黑体"/>
          <w:sz w:val="32"/>
          <w:szCs w:val="32"/>
        </w:rPr>
      </w:pPr>
      <w:bookmarkStart w:id="255" w:name="_Toc819"/>
    </w:p>
    <w:p>
      <w:pPr>
        <w:pStyle w:val="3"/>
        <w:spacing w:line="276" w:lineRule="auto"/>
        <w:rPr>
          <w:rFonts w:ascii="黑体" w:hAnsi="黑体" w:eastAsia="黑体"/>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pPr>
    </w:p>
    <w:p>
      <w:pPr>
        <w:pStyle w:val="3"/>
        <w:spacing w:line="276" w:lineRule="auto"/>
        <w:jc w:val="center"/>
        <w:rPr>
          <w:rFonts w:ascii="黑体" w:hAnsi="黑体" w:eastAsia="黑体"/>
          <w:sz w:val="32"/>
          <w:szCs w:val="32"/>
        </w:rPr>
      </w:pPr>
      <w:bookmarkStart w:id="256" w:name="_Toc883"/>
      <w:r>
        <w:rPr>
          <w:rFonts w:hint="eastAsia" w:ascii="黑体" w:hAnsi="黑体" w:eastAsia="黑体"/>
          <w:sz w:val="32"/>
          <w:szCs w:val="32"/>
        </w:rPr>
        <w:t>第七章  合同主要条款</w:t>
      </w:r>
      <w:bookmarkEnd w:id="255"/>
      <w:bookmarkEnd w:id="256"/>
    </w:p>
    <w:p>
      <w:pPr>
        <w:rPr>
          <w:rFonts w:ascii="Calibri" w:hAnsi="Calibri"/>
        </w:rPr>
      </w:pPr>
    </w:p>
    <w:p>
      <w:pPr>
        <w:snapToGrid w:val="0"/>
        <w:spacing w:before="156" w:after="156" w:line="480" w:lineRule="exact"/>
        <w:jc w:val="center"/>
        <w:rPr>
          <w:rFonts w:ascii="宋体" w:hAnsi="宋体" w:cs="宋体"/>
          <w:b/>
          <w:bCs/>
          <w:spacing w:val="10"/>
          <w:sz w:val="24"/>
        </w:rPr>
      </w:pPr>
      <w:r>
        <w:rPr>
          <w:rFonts w:hint="eastAsia" w:ascii="宋体" w:hAnsi="宋体" w:cs="宋体"/>
          <w:spacing w:val="10"/>
          <w:sz w:val="24"/>
        </w:rPr>
        <w:t>法律顾问服务合同</w:t>
      </w:r>
    </w:p>
    <w:p>
      <w:pPr>
        <w:tabs>
          <w:tab w:val="left" w:pos="8306"/>
        </w:tabs>
        <w:adjustRightInd w:val="0"/>
        <w:snapToGrid w:val="0"/>
        <w:spacing w:before="156" w:line="480" w:lineRule="exact"/>
        <w:ind w:right="-58"/>
        <w:jc w:val="right"/>
        <w:rPr>
          <w:rFonts w:ascii="宋体" w:hAnsi="宋体" w:cs="宋体"/>
          <w:snapToGrid w:val="0"/>
          <w:sz w:val="24"/>
        </w:rPr>
      </w:pPr>
      <w:r>
        <w:rPr>
          <w:rFonts w:hint="eastAsia" w:ascii="宋体" w:hAnsi="宋体" w:cs="宋体"/>
          <w:snapToGrid w:val="0"/>
          <w:sz w:val="24"/>
        </w:rPr>
        <w:t xml:space="preserve">编号： </w:t>
      </w:r>
    </w:p>
    <w:p>
      <w:pPr>
        <w:tabs>
          <w:tab w:val="left" w:pos="8306"/>
        </w:tabs>
        <w:adjustRightInd w:val="0"/>
        <w:snapToGrid w:val="0"/>
        <w:spacing w:before="156" w:line="480" w:lineRule="exact"/>
        <w:ind w:right="-58" w:firstLine="6240" w:firstLineChars="2600"/>
        <w:rPr>
          <w:rFonts w:ascii="宋体" w:hAnsi="宋体" w:cs="宋体"/>
          <w:snapToGrid w:val="0"/>
          <w:sz w:val="24"/>
        </w:rPr>
      </w:pPr>
    </w:p>
    <w:p>
      <w:pPr>
        <w:snapToGrid w:val="0"/>
        <w:spacing w:before="156" w:line="560" w:lineRule="exact"/>
        <w:rPr>
          <w:rFonts w:ascii="宋体" w:hAnsi="宋体" w:cs="宋体"/>
          <w:b/>
          <w:snapToGrid w:val="0"/>
          <w:sz w:val="24"/>
        </w:rPr>
      </w:pPr>
      <w:r>
        <w:rPr>
          <w:rFonts w:hint="eastAsia" w:ascii="宋体" w:hAnsi="宋体" w:cs="宋体"/>
          <w:b/>
          <w:snapToGrid w:val="0"/>
          <w:sz w:val="24"/>
        </w:rPr>
        <w:t>甲方：</w:t>
      </w:r>
      <w:r>
        <w:rPr>
          <w:rFonts w:hint="eastAsia" w:ascii="宋体" w:hAnsi="宋体" w:cs="宋体"/>
          <w:b/>
          <w:snapToGrid w:val="0"/>
          <w:sz w:val="24"/>
          <w:u w:val="single"/>
        </w:rPr>
        <w:t>攀枝花三线文化有限公司</w:t>
      </w:r>
    </w:p>
    <w:p>
      <w:pPr>
        <w:snapToGrid w:val="0"/>
        <w:spacing w:before="156" w:line="560" w:lineRule="exact"/>
        <w:rPr>
          <w:rFonts w:ascii="宋体" w:hAnsi="宋体" w:cs="宋体"/>
          <w:snapToGrid w:val="0"/>
          <w:sz w:val="24"/>
        </w:rPr>
      </w:pPr>
      <w:r>
        <w:rPr>
          <w:rFonts w:hint="eastAsia" w:ascii="宋体" w:hAnsi="宋体" w:cs="宋体"/>
          <w:snapToGrid w:val="0"/>
          <w:sz w:val="24"/>
        </w:rPr>
        <w:t>地址：攀枝花市仁和区红桐树街8号  邮编：617000</w:t>
      </w:r>
    </w:p>
    <w:p>
      <w:pPr>
        <w:snapToGrid w:val="0"/>
        <w:spacing w:before="156" w:line="560" w:lineRule="exact"/>
        <w:rPr>
          <w:rFonts w:ascii="宋体" w:hAnsi="宋体" w:cs="宋体"/>
          <w:snapToGrid w:val="0"/>
          <w:sz w:val="24"/>
        </w:rPr>
      </w:pPr>
      <w:r>
        <w:rPr>
          <w:rFonts w:hint="eastAsia" w:ascii="宋体" w:hAnsi="宋体" w:cs="宋体"/>
          <w:snapToGrid w:val="0"/>
          <w:sz w:val="24"/>
        </w:rPr>
        <w:t>电话：                  传真：</w:t>
      </w:r>
    </w:p>
    <w:p>
      <w:pPr>
        <w:snapToGrid w:val="0"/>
        <w:spacing w:before="156" w:line="560" w:lineRule="exact"/>
        <w:rPr>
          <w:rFonts w:ascii="宋体" w:hAnsi="宋体" w:cs="宋体"/>
          <w:b/>
          <w:snapToGrid w:val="0"/>
          <w:sz w:val="24"/>
        </w:rPr>
      </w:pPr>
      <w:r>
        <w:rPr>
          <w:rFonts w:hint="eastAsia" w:ascii="宋体" w:hAnsi="宋体" w:cs="宋体"/>
          <w:b/>
          <w:snapToGrid w:val="0"/>
          <w:sz w:val="24"/>
        </w:rPr>
        <w:t>乙方：</w:t>
      </w:r>
    </w:p>
    <w:p>
      <w:pPr>
        <w:snapToGrid w:val="0"/>
        <w:spacing w:before="156" w:line="560" w:lineRule="exact"/>
        <w:rPr>
          <w:rFonts w:ascii="宋体" w:hAnsi="宋体" w:cs="宋体"/>
          <w:snapToGrid w:val="0"/>
          <w:sz w:val="24"/>
        </w:rPr>
      </w:pPr>
      <w:r>
        <w:rPr>
          <w:rFonts w:hint="eastAsia" w:ascii="宋体" w:hAnsi="宋体" w:cs="宋体"/>
          <w:snapToGrid w:val="0"/>
          <w:sz w:val="24"/>
        </w:rPr>
        <w:t xml:space="preserve">地址：                            邮编： </w:t>
      </w:r>
    </w:p>
    <w:p>
      <w:pPr>
        <w:snapToGrid w:val="0"/>
        <w:spacing w:before="156" w:line="560" w:lineRule="exact"/>
        <w:rPr>
          <w:rFonts w:ascii="宋体" w:hAnsi="宋体" w:cs="宋体"/>
          <w:snapToGrid w:val="0"/>
          <w:sz w:val="24"/>
        </w:rPr>
      </w:pPr>
      <w:r>
        <w:rPr>
          <w:rFonts w:hint="eastAsia" w:ascii="宋体" w:hAnsi="宋体" w:cs="宋体"/>
          <w:snapToGrid w:val="0"/>
          <w:sz w:val="24"/>
        </w:rPr>
        <w:t>电话：                   传真：</w:t>
      </w:r>
    </w:p>
    <w:p>
      <w:pPr>
        <w:adjustRightInd w:val="0"/>
        <w:snapToGrid w:val="0"/>
        <w:spacing w:before="156"/>
        <w:ind w:firstLine="453" w:firstLineChars="189"/>
        <w:rPr>
          <w:rFonts w:ascii="宋体" w:hAnsi="宋体" w:cs="宋体"/>
          <w:spacing w:val="10"/>
          <w:sz w:val="24"/>
        </w:rPr>
      </w:pPr>
      <w:r>
        <w:rPr>
          <w:rFonts w:hint="eastAsia" w:ascii="宋体" w:hAnsi="宋体" w:cs="宋体"/>
          <w:sz w:val="24"/>
        </w:rPr>
        <w:t>甲、乙双方依据《中华人民共和国律师法》、《中华人民共和国合同法》及有关法律就聘请法律顾问提供法律服务协商达成一致，特订立本合同，以资共同遵守执行。</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一、法律顾问服务人员</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1.乙方接受甲方的聘请要求，指派律师担任甲方的法律顾问（以下称服务律师 ）。</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2.乙方在认为必要时，经甲方同意后，可将本合同约定的法律顾问部分工作指派乙方的其他律师协助完成。</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二、合同期限</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法律顾问服务期限为</w:t>
      </w:r>
      <w:r>
        <w:rPr>
          <w:rFonts w:hint="eastAsia" w:ascii="宋体" w:hAnsi="宋体" w:cs="宋体"/>
          <w:sz w:val="24"/>
          <w:u w:val="single"/>
        </w:rPr>
        <w:t>2020</w:t>
      </w:r>
      <w:r>
        <w:rPr>
          <w:rFonts w:hint="eastAsia" w:ascii="宋体" w:hAnsi="宋体" w:cs="宋体"/>
          <w:sz w:val="24"/>
        </w:rPr>
        <w:t>年月日起至</w:t>
      </w:r>
      <w:r>
        <w:rPr>
          <w:rFonts w:hint="eastAsia" w:ascii="宋体" w:hAnsi="宋体" w:cs="宋体"/>
          <w:sz w:val="24"/>
          <w:u w:val="single"/>
        </w:rPr>
        <w:t>2023</w:t>
      </w:r>
      <w:r>
        <w:rPr>
          <w:rFonts w:hint="eastAsia" w:ascii="宋体" w:hAnsi="宋体" w:cs="宋体"/>
          <w:sz w:val="24"/>
        </w:rPr>
        <w:t>年月日止。合同期满后，如双方同意续约，应另行签订常年法律顾问合同。</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三、法律顾问服务范围</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甲方根据自身对法律服务的需要，需要乙方提供如下法律服务：</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1.对内部经营管理制度进行法律审查；</w:t>
      </w:r>
    </w:p>
    <w:p>
      <w:pPr>
        <w:adjustRightInd w:val="0"/>
        <w:snapToGrid w:val="0"/>
        <w:spacing w:before="156" w:line="560" w:lineRule="exact"/>
        <w:ind w:firstLine="480" w:firstLineChars="200"/>
        <w:rPr>
          <w:rFonts w:ascii="宋体" w:hAnsi="宋体" w:cs="宋体"/>
          <w:sz w:val="24"/>
        </w:rPr>
      </w:pPr>
      <w:r>
        <w:rPr>
          <w:rFonts w:hint="eastAsia" w:ascii="宋体" w:hAnsi="宋体" w:cs="宋体"/>
          <w:snapToGrid w:val="0"/>
          <w:sz w:val="24"/>
        </w:rPr>
        <w:t>2.</w:t>
      </w:r>
      <w:r>
        <w:rPr>
          <w:rFonts w:hint="eastAsia" w:ascii="宋体" w:hAnsi="宋体" w:cs="宋体"/>
          <w:sz w:val="24"/>
        </w:rPr>
        <w:t>起草、拟定、审查重大合同、协议、声明、确认书或其它重要的法律文书；</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3.邀请乙方对重大事项的决策提供法律意见；</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4.自身经营密切相关的法律、法规、规章、政策等咨询服务；</w:t>
      </w:r>
    </w:p>
    <w:p>
      <w:pPr>
        <w:adjustRightInd w:val="0"/>
        <w:snapToGrid w:val="0"/>
        <w:spacing w:before="156" w:line="560" w:lineRule="exact"/>
        <w:ind w:firstLine="480" w:firstLineChars="200"/>
        <w:rPr>
          <w:rFonts w:ascii="宋体" w:hAnsi="宋体" w:cs="宋体"/>
          <w:sz w:val="24"/>
        </w:rPr>
      </w:pPr>
      <w:r>
        <w:rPr>
          <w:rFonts w:hint="eastAsia" w:ascii="宋体" w:hAnsi="宋体" w:cs="宋体"/>
          <w:snapToGrid w:val="0"/>
          <w:sz w:val="24"/>
        </w:rPr>
        <w:t>5.</w:t>
      </w:r>
      <w:r>
        <w:rPr>
          <w:rFonts w:hint="eastAsia" w:ascii="宋体" w:hAnsi="宋体" w:cs="宋体"/>
          <w:sz w:val="24"/>
        </w:rPr>
        <w:t>对甲方员工进行法律知识培训；</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6.协助建立或完善内部法律事务机构；</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7.邀请乙方参加纠纷调处、协商、谈判和其他重大复杂的非诉讼活动；</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8.代理甲方参加诉讼、仲裁、行政复议等。</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以上服务事项中属本合同第七条约定的另行计费服务项目的，需另行签订委托合同。</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四、法律服务方式</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乙方律师根据甲方需要，不定期为甲方提供法律顾问服务。</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五、甲方权利和义务</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1.甲方在有具体合理理由的情况下有权要求乙方及时更换在服务过程中工作不负责任或认为不适合服务甲方的律师。</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2.甲方有权决定是否采纳乙方律师的意见和建议，独立作出决策，并自行承担决策的风险和后果。</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3.甲方应当按照本合同约定向乙方支付法律顾问费。</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4.甲方应当真实、完整、客观地向律师介绍有关情况，提供有关的文件材料，并保证提供的全部有关材料是真实的、完整的、准确的，所提供的复印件与原件是一致的。</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5.甲方应当为律师开展工作提供一切必要的便利。</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6.不得要求乙方律师进行违法活动。</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六、乙方权利和义务</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1.乙方有权根据本合同的约定向甲方收取法律顾问费。</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2.甲方未按时足额向乙方支付本合同约定的法律顾问费，乙方及其律师有权暂停本合同约定的法律顾问服务。</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3.乙方应当依法忠实地维护甲方的一切合法权益,不得从事任何损害甲方合法权益的行为。</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4.乙方律师必须严格遵守律师职业道德和执业纪律，不得泄露甲方的技术秘密、商业秘密或者个人隐私。</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5.除法律规定及本合同约定或甲乙双方另行协商约定外，乙方律师不得另行向甲方收取费用。</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七、法律顾问费、差旅费及其他费用</w:t>
      </w:r>
    </w:p>
    <w:p>
      <w:pPr>
        <w:adjustRightInd w:val="0"/>
        <w:snapToGrid w:val="0"/>
        <w:spacing w:before="156" w:line="560" w:lineRule="exact"/>
        <w:ind w:firstLine="480" w:firstLineChars="200"/>
        <w:rPr>
          <w:rFonts w:ascii="宋体" w:hAnsi="宋体" w:cs="宋体"/>
          <w:sz w:val="24"/>
          <w:u w:val="single"/>
        </w:rPr>
      </w:pPr>
      <w:r>
        <w:rPr>
          <w:rFonts w:hint="eastAsia" w:ascii="宋体" w:hAnsi="宋体" w:cs="宋体"/>
          <w:sz w:val="24"/>
        </w:rPr>
        <w:t>1.法律顾问费：法律顾问服务期限为3年,法律顾问费总计</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，含税</w:t>
      </w:r>
      <w:r>
        <w:rPr>
          <w:rFonts w:hint="eastAsia" w:ascii="宋体" w:hAnsi="宋体" w:cs="宋体"/>
          <w:sz w:val="24"/>
        </w:rPr>
        <w:t>），</w:t>
      </w:r>
      <w:r>
        <w:rPr>
          <w:rFonts w:hint="eastAsia" w:ascii="宋体" w:hAnsi="宋体" w:cs="宋体"/>
          <w:sz w:val="24"/>
          <w:u w:val="single"/>
        </w:rPr>
        <w:t>按下列约定支付：分三次平均支付, 乙方在每个服务年度末向甲方开具增值税专用发票,甲方在收到发票后十五日内一次性付清乙方每年的法律顾问费。</w:t>
      </w:r>
    </w:p>
    <w:p>
      <w:pPr>
        <w:adjustRightInd w:val="0"/>
        <w:snapToGrid w:val="0"/>
        <w:spacing w:before="156" w:line="560" w:lineRule="exact"/>
        <w:ind w:firstLine="480" w:firstLineChars="200"/>
        <w:rPr>
          <w:rFonts w:ascii="宋体" w:hAnsi="宋体" w:cs="宋体"/>
          <w:sz w:val="24"/>
          <w:u w:val="single"/>
        </w:rPr>
      </w:pPr>
      <w:r>
        <w:rPr>
          <w:rFonts w:hint="eastAsia" w:ascii="宋体" w:hAnsi="宋体" w:cs="宋体"/>
          <w:sz w:val="24"/>
        </w:rPr>
        <w:t>2.差旅费：</w:t>
      </w:r>
      <w:r>
        <w:rPr>
          <w:rFonts w:hint="eastAsia" w:ascii="宋体" w:hAnsi="宋体" w:cs="宋体"/>
          <w:sz w:val="24"/>
          <w:u w:val="single"/>
        </w:rPr>
        <w:t>因甲方法律事务需要乙方律师赴攀枝花市辖区以外出差办理时，因此所产生的差旅费用由甲方承担，具体标准及支付方式由双方另行协商。</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3.另行计费服务项目及标准</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代理诉讼、仲裁案件：乙方按照《四川省律师法律服务收费行业指导标准（试行）》第二条第（一）款规定的标准下浮10%-40%计取代理费用，具体下浮比例根据情况由双方协商确定，并另行签订《委托代理合同》。</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（2）其他需提供专项法律服务：由双方根据具体专项法律服务事务协商确定，并另行签订《专项法律服务合同》。</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八、违约责任</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非因本合同约定或者依据法律规定，任何一方不得单方解除合同。如甲方无正当理由单方解除合同，乙方已收的法律顾问费不予退还，乙方还有权向甲方追收尚未支付的法律顾问费、差旅费和其他费用；如乙方无正当理由单方解除合同，甲方有权要求乙方退还已收的常年法律顾问费。</w:t>
      </w:r>
    </w:p>
    <w:p>
      <w:pPr>
        <w:adjustRightInd w:val="0"/>
        <w:snapToGrid w:val="0"/>
        <w:spacing w:before="156" w:line="560" w:lineRule="exact"/>
        <w:ind w:firstLine="482" w:firstLineChars="200"/>
        <w:rPr>
          <w:rFonts w:ascii="宋体" w:hAnsi="宋体" w:cs="宋体"/>
          <w:b/>
          <w:sz w:val="24"/>
        </w:rPr>
      </w:pPr>
      <w:r>
        <w:rPr>
          <w:rFonts w:hint="eastAsia" w:ascii="宋体" w:hAnsi="宋体" w:cs="宋体"/>
          <w:b/>
          <w:sz w:val="24"/>
        </w:rPr>
        <w:t>九、免责事由</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1.本合同履行期间，如遇不可抗力，致使本合同无法继续履行或无法完全履行，双方应按有关法律规定处理。</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2.甲方有责任对委托事项做出独立的决策。非因乙方指派的常年法律顾问律师错误运用法律等过错行为造成的损失，乙方不承担赔偿责任；若因乙方履职不当，故意或过失给甲方造成损失的，乙方应承担相应赔偿责任。</w:t>
      </w:r>
    </w:p>
    <w:p>
      <w:pPr>
        <w:adjustRightInd w:val="0"/>
        <w:snapToGrid w:val="0"/>
        <w:spacing w:before="156" w:line="560" w:lineRule="exact"/>
        <w:ind w:firstLine="480" w:firstLineChars="200"/>
        <w:rPr>
          <w:rFonts w:ascii="宋体" w:hAnsi="宋体" w:cs="宋体"/>
          <w:sz w:val="24"/>
        </w:rPr>
      </w:pPr>
      <w:r>
        <w:rPr>
          <w:rFonts w:hint="eastAsia" w:ascii="宋体" w:hAnsi="宋体" w:cs="宋体"/>
          <w:sz w:val="24"/>
        </w:rPr>
        <w:t>3.由于甲方介绍的情况或者提供的资料不真实、不完整、不准确，导致乙方律师向甲方提供的法律意见出现偏差，乙方不承担责任。</w:t>
      </w:r>
    </w:p>
    <w:p>
      <w:pPr>
        <w:snapToGrid w:val="0"/>
        <w:spacing w:before="156" w:line="560" w:lineRule="exact"/>
        <w:ind w:firstLine="600"/>
        <w:rPr>
          <w:rFonts w:ascii="宋体" w:hAnsi="宋体" w:cs="宋体"/>
          <w:b/>
          <w:bCs/>
          <w:snapToGrid w:val="0"/>
          <w:sz w:val="24"/>
        </w:rPr>
      </w:pPr>
      <w:r>
        <w:rPr>
          <w:rFonts w:hint="eastAsia" w:ascii="宋体" w:hAnsi="宋体" w:cs="宋体"/>
          <w:b/>
          <w:bCs/>
          <w:snapToGrid w:val="0"/>
          <w:sz w:val="24"/>
        </w:rPr>
        <w:t>十、联络</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双方联系方式：</w:t>
      </w:r>
    </w:p>
    <w:p>
      <w:pPr>
        <w:snapToGrid w:val="0"/>
        <w:spacing w:before="156" w:line="560" w:lineRule="exact"/>
        <w:ind w:firstLine="600"/>
        <w:rPr>
          <w:rFonts w:ascii="宋体" w:hAnsi="宋体" w:cs="宋体"/>
          <w:bCs/>
          <w:snapToGrid w:val="0"/>
          <w:sz w:val="24"/>
          <w:u w:val="single"/>
        </w:rPr>
      </w:pPr>
      <w:r>
        <w:rPr>
          <w:rFonts w:hint="eastAsia" w:ascii="宋体" w:hAnsi="宋体" w:cs="宋体"/>
          <w:bCs/>
          <w:snapToGrid w:val="0"/>
          <w:sz w:val="24"/>
        </w:rPr>
        <w:t>甲方联系人：</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联系电话：电邮：</w:t>
      </w:r>
      <w:r>
        <w:fldChar w:fldCharType="begin"/>
      </w:r>
      <w:r>
        <w:instrText xml:space="preserve"> HYPERLINK "mailto:2276011598@qq.com" </w:instrText>
      </w:r>
      <w:r>
        <w:fldChar w:fldCharType="separate"/>
      </w:r>
      <w:r>
        <w:fldChar w:fldCharType="end"/>
      </w:r>
    </w:p>
    <w:p>
      <w:pPr>
        <w:snapToGrid w:val="0"/>
        <w:spacing w:before="156" w:line="560" w:lineRule="exact"/>
        <w:ind w:firstLine="600"/>
        <w:rPr>
          <w:rFonts w:ascii="宋体" w:hAnsi="宋体" w:cs="宋体"/>
          <w:bCs/>
          <w:snapToGrid w:val="0"/>
          <w:sz w:val="24"/>
          <w:u w:val="single"/>
        </w:rPr>
      </w:pPr>
      <w:r>
        <w:rPr>
          <w:rFonts w:hint="eastAsia" w:ascii="宋体" w:hAnsi="宋体" w:cs="宋体"/>
          <w:bCs/>
          <w:snapToGrid w:val="0"/>
          <w:sz w:val="24"/>
        </w:rPr>
        <w:t>通讯地址：</w:t>
      </w:r>
    </w:p>
    <w:p>
      <w:pPr>
        <w:snapToGrid w:val="0"/>
        <w:spacing w:before="156" w:line="560" w:lineRule="exact"/>
        <w:ind w:firstLine="600"/>
        <w:rPr>
          <w:rFonts w:ascii="宋体" w:hAnsi="宋体" w:cs="宋体"/>
          <w:bCs/>
          <w:snapToGrid w:val="0"/>
          <w:sz w:val="24"/>
          <w:u w:val="single"/>
        </w:rPr>
      </w:pPr>
      <w:r>
        <w:rPr>
          <w:rFonts w:hint="eastAsia" w:ascii="宋体" w:hAnsi="宋体" w:cs="宋体"/>
          <w:bCs/>
          <w:snapToGrid w:val="0"/>
          <w:sz w:val="24"/>
        </w:rPr>
        <w:t>QQ：微信：</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其他：</w:t>
      </w:r>
    </w:p>
    <w:p>
      <w:pPr>
        <w:snapToGrid w:val="0"/>
        <w:spacing w:before="156" w:line="560" w:lineRule="exact"/>
        <w:ind w:firstLine="600"/>
        <w:rPr>
          <w:rFonts w:ascii="宋体" w:hAnsi="宋体" w:cs="宋体"/>
          <w:bCs/>
          <w:snapToGrid w:val="0"/>
          <w:sz w:val="24"/>
          <w:u w:val="single"/>
        </w:rPr>
      </w:pPr>
      <w:r>
        <w:rPr>
          <w:rFonts w:hint="eastAsia" w:ascii="宋体" w:hAnsi="宋体" w:cs="宋体"/>
          <w:bCs/>
          <w:snapToGrid w:val="0"/>
          <w:sz w:val="24"/>
        </w:rPr>
        <w:t>乙方联系人：</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联系电话：电邮：</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通讯地址：</w:t>
      </w:r>
    </w:p>
    <w:p>
      <w:pPr>
        <w:snapToGrid w:val="0"/>
        <w:spacing w:before="156" w:line="560" w:lineRule="exact"/>
        <w:ind w:firstLine="600"/>
        <w:rPr>
          <w:rFonts w:ascii="宋体" w:hAnsi="宋体" w:cs="宋体"/>
          <w:bCs/>
          <w:snapToGrid w:val="0"/>
          <w:sz w:val="24"/>
          <w:u w:val="single"/>
        </w:rPr>
      </w:pPr>
      <w:r>
        <w:rPr>
          <w:rFonts w:hint="eastAsia" w:ascii="宋体" w:hAnsi="宋体" w:cs="宋体"/>
          <w:bCs/>
          <w:snapToGrid w:val="0"/>
          <w:sz w:val="24"/>
        </w:rPr>
        <w:t>QQ：微信：</w:t>
      </w:r>
    </w:p>
    <w:p>
      <w:pPr>
        <w:snapToGrid w:val="0"/>
        <w:spacing w:before="156" w:line="560" w:lineRule="exact"/>
        <w:ind w:firstLine="600"/>
        <w:rPr>
          <w:rFonts w:ascii="宋体" w:hAnsi="宋体" w:cs="宋体"/>
          <w:bCs/>
          <w:snapToGrid w:val="0"/>
          <w:sz w:val="24"/>
        </w:rPr>
      </w:pPr>
      <w:r>
        <w:rPr>
          <w:rFonts w:hint="eastAsia" w:ascii="宋体" w:hAnsi="宋体" w:cs="宋体"/>
          <w:bCs/>
          <w:snapToGrid w:val="0"/>
          <w:sz w:val="24"/>
        </w:rPr>
        <w:t>其他：</w:t>
      </w:r>
    </w:p>
    <w:p>
      <w:pPr>
        <w:snapToGrid w:val="0"/>
        <w:spacing w:before="156" w:line="560" w:lineRule="exact"/>
        <w:ind w:firstLine="482" w:firstLineChars="200"/>
        <w:rPr>
          <w:rFonts w:ascii="宋体" w:hAnsi="宋体" w:cs="宋体"/>
          <w:b/>
          <w:snapToGrid w:val="0"/>
          <w:sz w:val="24"/>
        </w:rPr>
      </w:pPr>
      <w:r>
        <w:rPr>
          <w:rFonts w:hint="eastAsia" w:ascii="宋体" w:hAnsi="宋体" w:cs="宋体"/>
          <w:b/>
          <w:snapToGrid w:val="0"/>
          <w:sz w:val="24"/>
        </w:rPr>
        <w:t>十一、纠纷解决</w:t>
      </w:r>
    </w:p>
    <w:p>
      <w:pPr>
        <w:snapToGrid w:val="0"/>
        <w:spacing w:before="156" w:line="560" w:lineRule="exact"/>
        <w:ind w:firstLine="480" w:firstLineChars="200"/>
        <w:rPr>
          <w:rFonts w:ascii="宋体" w:hAnsi="宋体" w:cs="宋体"/>
          <w:snapToGrid w:val="0"/>
          <w:sz w:val="24"/>
        </w:rPr>
      </w:pPr>
      <w:r>
        <w:rPr>
          <w:rFonts w:hint="eastAsia" w:ascii="宋体" w:hAnsi="宋体" w:cs="宋体"/>
          <w:snapToGrid w:val="0"/>
          <w:sz w:val="24"/>
        </w:rPr>
        <w:t>因本合同发生的纠纷，双方应尽量协商解决，协商不成的，任何一方都可以选择以下</w:t>
      </w:r>
      <w:r>
        <w:rPr>
          <w:rFonts w:hint="eastAsia" w:ascii="宋体" w:hAnsi="宋体" w:cs="宋体"/>
          <w:snapToGrid w:val="0"/>
          <w:sz w:val="24"/>
          <w:u w:val="single"/>
        </w:rPr>
        <w:t>（1）</w:t>
      </w:r>
      <w:r>
        <w:rPr>
          <w:rFonts w:hint="eastAsia" w:ascii="宋体" w:hAnsi="宋体" w:cs="宋体"/>
          <w:snapToGrid w:val="0"/>
          <w:sz w:val="24"/>
        </w:rPr>
        <w:t>方式解决：</w:t>
      </w:r>
    </w:p>
    <w:p>
      <w:pPr>
        <w:snapToGrid w:val="0"/>
        <w:spacing w:before="156" w:line="560" w:lineRule="exact"/>
        <w:ind w:firstLine="480" w:firstLineChars="200"/>
        <w:rPr>
          <w:rFonts w:ascii="宋体" w:hAnsi="宋体" w:cs="宋体"/>
          <w:snapToGrid w:val="0"/>
          <w:sz w:val="24"/>
        </w:rPr>
      </w:pPr>
      <w:r>
        <w:rPr>
          <w:rFonts w:hint="eastAsia" w:ascii="宋体" w:hAnsi="宋体" w:cs="宋体"/>
          <w:snapToGrid w:val="0"/>
          <w:sz w:val="24"/>
        </w:rPr>
        <w:t>（1）向</w:t>
      </w:r>
      <w:r>
        <w:rPr>
          <w:rFonts w:hint="eastAsia" w:ascii="宋体" w:hAnsi="宋体" w:cs="宋体"/>
          <w:snapToGrid w:val="0"/>
          <w:sz w:val="24"/>
          <w:u w:val="single"/>
        </w:rPr>
        <w:t>攀枝花市东区人民</w:t>
      </w:r>
      <w:r>
        <w:rPr>
          <w:rFonts w:hint="eastAsia" w:ascii="宋体" w:hAnsi="宋体" w:cs="宋体"/>
          <w:snapToGrid w:val="0"/>
          <w:sz w:val="24"/>
        </w:rPr>
        <w:t>法院起诉；</w:t>
      </w:r>
    </w:p>
    <w:p>
      <w:pPr>
        <w:snapToGrid w:val="0"/>
        <w:spacing w:before="156" w:line="560" w:lineRule="exact"/>
        <w:ind w:firstLine="480" w:firstLineChars="200"/>
        <w:rPr>
          <w:rFonts w:ascii="宋体" w:hAnsi="宋体" w:cs="宋体"/>
          <w:snapToGrid w:val="0"/>
          <w:sz w:val="24"/>
        </w:rPr>
      </w:pPr>
      <w:r>
        <w:rPr>
          <w:rFonts w:hint="eastAsia" w:ascii="宋体" w:hAnsi="宋体" w:cs="宋体"/>
          <w:snapToGrid w:val="0"/>
          <w:sz w:val="24"/>
        </w:rPr>
        <w:t>（2）向</w:t>
      </w:r>
      <w:r>
        <w:rPr>
          <w:rFonts w:hint="eastAsia" w:ascii="宋体" w:hAnsi="宋体" w:cs="宋体"/>
          <w:snapToGrid w:val="0"/>
          <w:sz w:val="24"/>
          <w:u w:val="single"/>
        </w:rPr>
        <w:t>攀枝花</w:t>
      </w:r>
      <w:r>
        <w:rPr>
          <w:rFonts w:hint="eastAsia" w:ascii="宋体" w:hAnsi="宋体" w:cs="宋体"/>
          <w:snapToGrid w:val="0"/>
          <w:sz w:val="24"/>
        </w:rPr>
        <w:t>仲裁委员会申请仲裁。</w:t>
      </w:r>
    </w:p>
    <w:p>
      <w:pPr>
        <w:snapToGrid w:val="0"/>
        <w:spacing w:before="156" w:line="560" w:lineRule="exact"/>
        <w:ind w:firstLine="482" w:firstLineChars="200"/>
        <w:rPr>
          <w:rFonts w:ascii="宋体" w:hAnsi="宋体" w:cs="宋体"/>
          <w:b/>
          <w:snapToGrid w:val="0"/>
          <w:sz w:val="24"/>
        </w:rPr>
      </w:pPr>
      <w:r>
        <w:rPr>
          <w:rFonts w:hint="eastAsia" w:ascii="宋体" w:hAnsi="宋体" w:cs="宋体"/>
          <w:b/>
          <w:snapToGrid w:val="0"/>
          <w:sz w:val="24"/>
        </w:rPr>
        <w:t>十二、其他</w:t>
      </w:r>
    </w:p>
    <w:p>
      <w:pPr>
        <w:snapToGrid w:val="0"/>
        <w:spacing w:before="156" w:line="560" w:lineRule="exact"/>
        <w:ind w:firstLine="480" w:firstLineChars="200"/>
        <w:rPr>
          <w:rFonts w:ascii="宋体" w:hAnsi="宋体" w:cs="宋体"/>
          <w:snapToGrid w:val="0"/>
          <w:sz w:val="24"/>
        </w:rPr>
      </w:pPr>
      <w:r>
        <w:rPr>
          <w:rFonts w:hint="eastAsia" w:ascii="宋体" w:hAnsi="宋体" w:cs="宋体"/>
          <w:snapToGrid w:val="0"/>
          <w:sz w:val="24"/>
        </w:rPr>
        <w:t>本合同壹式</w:t>
      </w:r>
      <w:r>
        <w:rPr>
          <w:rFonts w:hint="eastAsia" w:ascii="宋体" w:hAnsi="宋体" w:cs="宋体"/>
          <w:snapToGrid w:val="0"/>
          <w:sz w:val="24"/>
          <w:u w:val="single"/>
        </w:rPr>
        <w:t>肆</w:t>
      </w:r>
      <w:r>
        <w:rPr>
          <w:rFonts w:hint="eastAsia" w:ascii="宋体" w:hAnsi="宋体" w:cs="宋体"/>
          <w:snapToGrid w:val="0"/>
          <w:sz w:val="24"/>
        </w:rPr>
        <w:t>份，甲、乙双方各持</w:t>
      </w:r>
      <w:r>
        <w:rPr>
          <w:rFonts w:hint="eastAsia" w:ascii="宋体" w:hAnsi="宋体" w:cs="宋体"/>
          <w:snapToGrid w:val="0"/>
          <w:sz w:val="24"/>
          <w:u w:val="single"/>
        </w:rPr>
        <w:t>贰</w:t>
      </w:r>
      <w:r>
        <w:rPr>
          <w:rFonts w:hint="eastAsia" w:ascii="宋体" w:hAnsi="宋体" w:cs="宋体"/>
          <w:snapToGrid w:val="0"/>
          <w:sz w:val="24"/>
        </w:rPr>
        <w:t>份，自双方签署完成后生效。本合同于年月日签署。</w:t>
      </w:r>
    </w:p>
    <w:p>
      <w:pPr>
        <w:spacing w:before="156" w:after="156" w:line="560" w:lineRule="exact"/>
        <w:rPr>
          <w:rFonts w:ascii="宋体" w:hAnsi="宋体" w:cs="宋体"/>
          <w:sz w:val="24"/>
        </w:rPr>
      </w:pPr>
    </w:p>
    <w:p>
      <w:pPr>
        <w:spacing w:before="156" w:after="156" w:line="560" w:lineRule="exact"/>
        <w:rPr>
          <w:rFonts w:ascii="宋体" w:hAnsi="宋体" w:cs="宋体"/>
          <w:sz w:val="24"/>
        </w:rPr>
      </w:pPr>
    </w:p>
    <w:p>
      <w:pPr>
        <w:spacing w:before="156" w:after="156" w:line="560" w:lineRule="exact"/>
        <w:rPr>
          <w:rFonts w:ascii="宋体" w:hAnsi="宋体" w:cs="宋体"/>
          <w:sz w:val="24"/>
        </w:rPr>
      </w:pPr>
    </w:p>
    <w:p>
      <w:pPr>
        <w:adjustRightInd w:val="0"/>
        <w:snapToGrid w:val="0"/>
        <w:spacing w:before="156"/>
        <w:rPr>
          <w:rFonts w:ascii="宋体" w:hAnsi="宋体" w:cs="宋体"/>
          <w:snapToGrid w:val="0"/>
          <w:sz w:val="24"/>
        </w:rPr>
      </w:pPr>
      <w:r>
        <w:rPr>
          <w:rFonts w:hint="eastAsia" w:ascii="宋体" w:hAnsi="宋体" w:cs="宋体"/>
          <w:b/>
          <w:bCs/>
          <w:snapToGrid w:val="0"/>
          <w:sz w:val="24"/>
        </w:rPr>
        <w:t>（此页无正文）</w:t>
      </w:r>
    </w:p>
    <w:p>
      <w:pPr>
        <w:adjustRightInd w:val="0"/>
        <w:snapToGrid w:val="0"/>
        <w:spacing w:before="156"/>
        <w:rPr>
          <w:rFonts w:ascii="宋体" w:hAnsi="宋体" w:cs="宋体"/>
          <w:b/>
          <w:bCs/>
          <w:snapToGrid w:val="0"/>
          <w:sz w:val="24"/>
        </w:rPr>
      </w:pPr>
    </w:p>
    <w:p>
      <w:pPr>
        <w:snapToGrid w:val="0"/>
        <w:spacing w:before="156"/>
        <w:rPr>
          <w:rFonts w:ascii="宋体" w:hAnsi="宋体" w:cs="宋体"/>
          <w:snapToGrid w:val="0"/>
          <w:sz w:val="24"/>
        </w:rPr>
      </w:pPr>
      <w:r>
        <w:rPr>
          <w:rFonts w:hint="eastAsia" w:ascii="宋体" w:hAnsi="宋体" w:cs="宋体"/>
          <w:snapToGrid w:val="0"/>
          <w:sz w:val="24"/>
        </w:rPr>
        <w:t>甲方（盖章）：</w:t>
      </w:r>
      <w:r>
        <w:rPr>
          <w:rFonts w:hint="eastAsia" w:ascii="宋体" w:hAnsi="宋体" w:cs="宋体"/>
          <w:snapToGrid w:val="0"/>
          <w:sz w:val="24"/>
          <w:u w:val="single"/>
        </w:rPr>
        <w:t>攀枝花三线文化有限公司</w:t>
      </w:r>
    </w:p>
    <w:p>
      <w:pPr>
        <w:snapToGrid w:val="0"/>
        <w:spacing w:before="156"/>
        <w:rPr>
          <w:rFonts w:ascii="宋体" w:hAnsi="宋体" w:cs="宋体"/>
          <w:snapToGrid w:val="0"/>
          <w:sz w:val="24"/>
        </w:rPr>
      </w:pPr>
    </w:p>
    <w:p>
      <w:pPr>
        <w:snapToGrid w:val="0"/>
        <w:spacing w:before="156"/>
        <w:rPr>
          <w:rFonts w:ascii="宋体" w:hAnsi="宋体" w:cs="宋体"/>
          <w:snapToGrid w:val="0"/>
          <w:sz w:val="24"/>
        </w:rPr>
      </w:pPr>
      <w:r>
        <w:rPr>
          <w:rFonts w:hint="eastAsia" w:ascii="宋体" w:hAnsi="宋体" w:cs="宋体"/>
          <w:snapToGrid w:val="0"/>
          <w:sz w:val="24"/>
        </w:rPr>
        <w:t>法定代表人（签名）：</w:t>
      </w:r>
    </w:p>
    <w:p>
      <w:pPr>
        <w:snapToGrid w:val="0"/>
        <w:spacing w:before="156"/>
        <w:rPr>
          <w:rFonts w:ascii="宋体" w:hAnsi="宋体" w:cs="宋体"/>
          <w:snapToGrid w:val="0"/>
          <w:sz w:val="24"/>
        </w:rPr>
      </w:pPr>
    </w:p>
    <w:p>
      <w:pPr>
        <w:snapToGrid w:val="0"/>
        <w:spacing w:before="156"/>
        <w:rPr>
          <w:rFonts w:ascii="宋体" w:hAnsi="宋体" w:cs="宋体"/>
          <w:snapToGrid w:val="0"/>
          <w:sz w:val="24"/>
        </w:rPr>
      </w:pPr>
    </w:p>
    <w:p>
      <w:pPr>
        <w:snapToGrid w:val="0"/>
        <w:spacing w:before="156"/>
        <w:rPr>
          <w:rFonts w:ascii="宋体" w:hAnsi="宋体" w:cs="宋体"/>
          <w:snapToGrid w:val="0"/>
          <w:sz w:val="24"/>
        </w:rPr>
      </w:pPr>
      <w:r>
        <w:rPr>
          <w:rFonts w:hint="eastAsia" w:ascii="宋体" w:hAnsi="宋体" w:cs="宋体"/>
          <w:snapToGrid w:val="0"/>
          <w:sz w:val="24"/>
        </w:rPr>
        <w:t>乙方（盖章）：</w:t>
      </w:r>
    </w:p>
    <w:p>
      <w:pPr>
        <w:snapToGrid w:val="0"/>
        <w:spacing w:before="156"/>
        <w:rPr>
          <w:rFonts w:ascii="宋体" w:hAnsi="宋体" w:cs="宋体"/>
          <w:snapToGrid w:val="0"/>
          <w:sz w:val="24"/>
        </w:rPr>
      </w:pPr>
    </w:p>
    <w:p>
      <w:pPr>
        <w:snapToGrid w:val="0"/>
        <w:spacing w:before="156"/>
        <w:rPr>
          <w:rFonts w:ascii="宋体" w:hAnsi="宋体" w:cs="宋体"/>
          <w:snapToGrid w:val="0"/>
          <w:sz w:val="24"/>
          <w:u w:val="single"/>
        </w:rPr>
      </w:pPr>
      <w:r>
        <w:rPr>
          <w:rFonts w:hint="eastAsia" w:ascii="宋体" w:hAnsi="宋体" w:cs="宋体"/>
          <w:snapToGrid w:val="0"/>
          <w:sz w:val="24"/>
        </w:rPr>
        <w:t>授权代表（签名）：</w:t>
      </w:r>
    </w:p>
    <w:p>
      <w:pPr>
        <w:spacing w:before="156" w:after="156" w:line="480" w:lineRule="exact"/>
      </w:pPr>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26</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F0DC7"/>
    <w:multiLevelType w:val="singleLevel"/>
    <w:tmpl w:val="A5FF0DC7"/>
    <w:lvl w:ilvl="0" w:tentative="0">
      <w:start w:val="2"/>
      <w:numFmt w:val="chineseCounting"/>
      <w:suff w:val="nothing"/>
      <w:lvlText w:val="（%1）"/>
      <w:lvlJc w:val="left"/>
      <w:rPr>
        <w:rFonts w:hint="eastAsia"/>
      </w:rPr>
    </w:lvl>
  </w:abstractNum>
  <w:abstractNum w:abstractNumId="1">
    <w:nsid w:val="D589FBB4"/>
    <w:multiLevelType w:val="singleLevel"/>
    <w:tmpl w:val="D589FBB4"/>
    <w:lvl w:ilvl="0" w:tentative="0">
      <w:start w:val="1"/>
      <w:numFmt w:val="decimal"/>
      <w:suff w:val="nothing"/>
      <w:lvlText w:val="%1、"/>
      <w:lvlJc w:val="left"/>
    </w:lvl>
  </w:abstractNum>
  <w:abstractNum w:abstractNumId="2">
    <w:nsid w:val="0C33E85C"/>
    <w:multiLevelType w:val="singleLevel"/>
    <w:tmpl w:val="0C33E85C"/>
    <w:lvl w:ilvl="0" w:tentative="0">
      <w:start w:val="1"/>
      <w:numFmt w:val="decimal"/>
      <w:suff w:val="nothing"/>
      <w:lvlText w:val="%1、"/>
      <w:lvlJc w:val="left"/>
    </w:lvl>
  </w:abstractNum>
  <w:abstractNum w:abstractNumId="3">
    <w:nsid w:val="2346DF39"/>
    <w:multiLevelType w:val="singleLevel"/>
    <w:tmpl w:val="2346DF39"/>
    <w:lvl w:ilvl="0" w:tentative="0">
      <w:start w:val="2"/>
      <w:numFmt w:val="chineseCounting"/>
      <w:suff w:val="nothing"/>
      <w:lvlText w:val="%1、"/>
      <w:lvlJc w:val="left"/>
      <w:rPr>
        <w:rFonts w:hint="eastAsia"/>
      </w:rPr>
    </w:lvl>
  </w:abstractNum>
  <w:abstractNum w:abstractNumId="4">
    <w:nsid w:val="32FFD3AB"/>
    <w:multiLevelType w:val="singleLevel"/>
    <w:tmpl w:val="32FFD3AB"/>
    <w:lvl w:ilvl="0" w:tentative="0">
      <w:start w:val="1"/>
      <w:numFmt w:val="chineseCounting"/>
      <w:suff w:val="nothing"/>
      <w:lvlText w:val="（%1）"/>
      <w:lvlJc w:val="left"/>
      <w:rPr>
        <w:rFonts w:hint="eastAsia"/>
      </w:rPr>
    </w:lvl>
  </w:abstractNum>
  <w:abstractNum w:abstractNumId="5">
    <w:nsid w:val="3951677C"/>
    <w:multiLevelType w:val="singleLevel"/>
    <w:tmpl w:val="3951677C"/>
    <w:lvl w:ilvl="0" w:tentative="0">
      <w:start w:val="1"/>
      <w:numFmt w:val="decimal"/>
      <w:suff w:val="nothing"/>
      <w:lvlText w:val="%1、"/>
      <w:lvlJc w:val="left"/>
    </w:lvl>
  </w:abstractNum>
  <w:abstractNum w:abstractNumId="6">
    <w:nsid w:val="5853987F"/>
    <w:multiLevelType w:val="singleLevel"/>
    <w:tmpl w:val="5853987F"/>
    <w:lvl w:ilvl="0" w:tentative="0">
      <w:start w:val="5"/>
      <w:numFmt w:val="decimal"/>
      <w:suff w:val="space"/>
      <w:lvlText w:val="%1."/>
      <w:lvlJc w:val="left"/>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42CDB"/>
    <w:rsid w:val="001E5FE3"/>
    <w:rsid w:val="00A90A95"/>
    <w:rsid w:val="00CA62A1"/>
    <w:rsid w:val="00DA68B9"/>
    <w:rsid w:val="00F167F5"/>
    <w:rsid w:val="046A3E7C"/>
    <w:rsid w:val="3FB42CDB"/>
    <w:rsid w:val="64700A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578" w:lineRule="auto"/>
      <w:outlineLvl w:val="0"/>
    </w:pPr>
    <w:rPr>
      <w:b/>
      <w:bCs/>
      <w:kern w:val="44"/>
      <w:sz w:val="44"/>
      <w:szCs w:val="44"/>
    </w:rPr>
  </w:style>
  <w:style w:type="paragraph" w:styleId="4">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Normal Indent"/>
    <w:basedOn w:val="1"/>
    <w:qFormat/>
    <w:uiPriority w:val="99"/>
    <w:pPr>
      <w:ind w:firstLine="420" w:firstLineChars="200"/>
    </w:pPr>
  </w:style>
  <w:style w:type="paragraph" w:styleId="7">
    <w:name w:val="Body Text Indent"/>
    <w:basedOn w:val="1"/>
    <w:qFormat/>
    <w:uiPriority w:val="0"/>
    <w:pPr>
      <w:ind w:firstLine="630"/>
    </w:pPr>
    <w:rPr>
      <w:sz w:val="32"/>
      <w:szCs w:val="20"/>
    </w:rPr>
  </w:style>
  <w:style w:type="paragraph" w:styleId="8">
    <w:name w:val="toc 3"/>
    <w:basedOn w:val="1"/>
    <w:next w:val="1"/>
    <w:qFormat/>
    <w:uiPriority w:val="39"/>
    <w:pPr>
      <w:ind w:left="840" w:leftChars="400"/>
    </w:pPr>
  </w:style>
  <w:style w:type="paragraph" w:styleId="9">
    <w:name w:val="footer"/>
    <w:basedOn w:val="1"/>
    <w:qFormat/>
    <w:uiPriority w:val="99"/>
    <w:pPr>
      <w:tabs>
        <w:tab w:val="center" w:pos="4153"/>
        <w:tab w:val="right" w:pos="8306"/>
      </w:tabs>
      <w:snapToGrid w:val="0"/>
      <w:jc w:val="left"/>
    </w:pPr>
    <w:rPr>
      <w:sz w:val="18"/>
      <w:szCs w:val="20"/>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1">
    <w:name w:val="toc 1"/>
    <w:basedOn w:val="1"/>
    <w:next w:val="1"/>
    <w:qFormat/>
    <w:uiPriority w:val="39"/>
    <w:pPr>
      <w:tabs>
        <w:tab w:val="right" w:leader="dot" w:pos="8949"/>
      </w:tabs>
    </w:pPr>
    <w:rPr>
      <w:rFonts w:ascii="楷体" w:hAnsi="楷体" w:eastAsia="楷体"/>
      <w:b/>
      <w:sz w:val="28"/>
      <w:szCs w:val="28"/>
    </w:rPr>
  </w:style>
  <w:style w:type="paragraph" w:styleId="12">
    <w:name w:val="toc 2"/>
    <w:basedOn w:val="1"/>
    <w:next w:val="1"/>
    <w:qFormat/>
    <w:uiPriority w:val="39"/>
    <w:pPr>
      <w:ind w:left="420" w:leftChars="200"/>
    </w:pPr>
  </w:style>
  <w:style w:type="paragraph" w:styleId="13">
    <w:name w:val="Normal (Web)"/>
    <w:basedOn w:val="1"/>
    <w:qFormat/>
    <w:uiPriority w:val="99"/>
    <w:pPr>
      <w:widowControl/>
      <w:spacing w:beforeAutospacing="1" w:afterAutospacing="1"/>
      <w:jc w:val="left"/>
    </w:pPr>
    <w:rPr>
      <w:rFonts w:ascii="宋体" w:hAnsi="宋体"/>
      <w:kern w:val="0"/>
      <w:sz w:val="18"/>
      <w:szCs w:val="18"/>
    </w:rPr>
  </w:style>
  <w:style w:type="character" w:styleId="16">
    <w:name w:val="page number"/>
    <w:basedOn w:val="15"/>
    <w:qFormat/>
    <w:uiPriority w:val="0"/>
  </w:style>
  <w:style w:type="paragraph" w:customStyle="1" w:styleId="17">
    <w:name w:val="正文首行缩进两字符"/>
    <w:basedOn w:val="1"/>
    <w:qFormat/>
    <w:uiPriority w:val="0"/>
    <w:pPr>
      <w:spacing w:line="360" w:lineRule="auto"/>
      <w:ind w:firstLine="200" w:firstLineChars="200"/>
    </w:p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
    <w:name w:val="正文文本 21"/>
    <w:basedOn w:val="1"/>
    <w:qFormat/>
    <w:uiPriority w:val="0"/>
    <w:pPr>
      <w:adjustRightInd w:val="0"/>
      <w:spacing w:line="300" w:lineRule="auto"/>
      <w:jc w:val="center"/>
      <w:textAlignment w:val="baseline"/>
    </w:pPr>
    <w:rPr>
      <w:rFonts w:ascii="宋体" w:hAnsi="宋体"/>
      <w:sz w:val="24"/>
    </w:rPr>
  </w:style>
  <w:style w:type="paragraph" w:customStyle="1" w:styleId="2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长信电脑</Company>
  <Pages>38</Pages>
  <Words>3544</Words>
  <Characters>20206</Characters>
  <Lines>168</Lines>
  <Paragraphs>47</Paragraphs>
  <TotalTime>48</TotalTime>
  <ScaleCrop>false</ScaleCrop>
  <LinksUpToDate>false</LinksUpToDate>
  <CharactersWithSpaces>23703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2020-08-27T07:07:00Z</dcterms:created>
  <dc:creator>Zll</dc:creator>
  <cp:lastModifiedBy>Zll</cp:lastModifiedBy>
  <dcterms:modified xsi:type="dcterms:W3CDTF">2020-08-28T10:01:52Z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